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3F9EA128" w:rsidR="008A22CF" w:rsidRPr="00442065" w:rsidRDefault="008A22CF" w:rsidP="008A22CF">
      <w:pPr>
        <w:pStyle w:val="3GPPHeader"/>
        <w:spacing w:after="60"/>
        <w:rPr>
          <w:sz w:val="32"/>
          <w:szCs w:val="32"/>
          <w:highlight w:val="yellow"/>
        </w:rPr>
      </w:pPr>
      <w:bookmarkStart w:id="0" w:name="_Hlk487029736"/>
      <w:bookmarkEnd w:id="0"/>
      <w:r w:rsidRPr="00442065">
        <w:t>3GPP TSG-RAN WG4</w:t>
      </w:r>
      <w:r w:rsidR="001D4850" w:rsidRPr="00442065">
        <w:t xml:space="preserve"> Meeting</w:t>
      </w:r>
      <w:r w:rsidR="005071CC" w:rsidRPr="00442065">
        <w:t xml:space="preserve"> </w:t>
      </w:r>
      <w:r w:rsidR="005D1E89" w:rsidRPr="00442065">
        <w:t>#</w:t>
      </w:r>
      <w:r w:rsidR="00615DC1" w:rsidRPr="00442065">
        <w:t>9</w:t>
      </w:r>
      <w:r w:rsidR="00215C76">
        <w:t>7</w:t>
      </w:r>
      <w:r w:rsidR="00AD7460" w:rsidRPr="00442065">
        <w:t>-e</w:t>
      </w:r>
      <w:r w:rsidRPr="00442065">
        <w:tab/>
      </w:r>
      <w:r w:rsidR="004B60B9" w:rsidRPr="00442065">
        <w:rPr>
          <w:szCs w:val="24"/>
        </w:rPr>
        <w:t>R4-</w:t>
      </w:r>
      <w:r w:rsidR="006D1D65" w:rsidRPr="00442065">
        <w:rPr>
          <w:szCs w:val="24"/>
        </w:rPr>
        <w:t>20</w:t>
      </w:r>
      <w:r w:rsidR="00F01CF0">
        <w:rPr>
          <w:szCs w:val="24"/>
        </w:rPr>
        <w:t>1</w:t>
      </w:r>
      <w:r w:rsidR="004A043F">
        <w:rPr>
          <w:szCs w:val="24"/>
        </w:rPr>
        <w:t>5820</w:t>
      </w:r>
      <w:bookmarkStart w:id="1" w:name="_GoBack"/>
      <w:bookmarkEnd w:id="1"/>
    </w:p>
    <w:p w14:paraId="500197F1" w14:textId="7C9DB87C" w:rsidR="005D1E89" w:rsidRPr="00442065" w:rsidRDefault="00AD7460" w:rsidP="005D1E89">
      <w:pPr>
        <w:pStyle w:val="3GPPHeader"/>
      </w:pPr>
      <w:bookmarkStart w:id="2" w:name="OLE_LINK3"/>
      <w:bookmarkStart w:id="3" w:name="OLE_LINK4"/>
      <w:r w:rsidRPr="00442065">
        <w:t>Electronic</w:t>
      </w:r>
      <w:r w:rsidR="005D1E89" w:rsidRPr="00442065">
        <w:t xml:space="preserve"> </w:t>
      </w:r>
      <w:r w:rsidRPr="00442065">
        <w:t>Meeting</w:t>
      </w:r>
      <w:r w:rsidR="00526BF8" w:rsidRPr="00442065">
        <w:t xml:space="preserve">, </w:t>
      </w:r>
      <w:r w:rsidR="00215C76">
        <w:t>2</w:t>
      </w:r>
      <w:r w:rsidRPr="00442065">
        <w:t xml:space="preserve"> </w:t>
      </w:r>
      <w:r w:rsidR="00526BF8" w:rsidRPr="00442065">
        <w:t xml:space="preserve">– </w:t>
      </w:r>
      <w:r w:rsidR="00215C76">
        <w:t>13</w:t>
      </w:r>
      <w:r w:rsidR="005D1E89" w:rsidRPr="00442065">
        <w:t xml:space="preserve"> </w:t>
      </w:r>
      <w:r w:rsidR="00215C76">
        <w:t>November</w:t>
      </w:r>
      <w:r w:rsidR="005D1E89" w:rsidRPr="00442065">
        <w:t xml:space="preserve"> 20</w:t>
      </w:r>
      <w:r w:rsidR="006D1D65" w:rsidRPr="00442065">
        <w:t>20</w:t>
      </w:r>
    </w:p>
    <w:bookmarkEnd w:id="2"/>
    <w:bookmarkEnd w:id="3"/>
    <w:p w14:paraId="65F55581" w14:textId="77777777" w:rsidR="008A22CF" w:rsidRPr="00442065" w:rsidRDefault="008A22CF" w:rsidP="008A22CF">
      <w:pPr>
        <w:pStyle w:val="3GPPHeader"/>
      </w:pPr>
    </w:p>
    <w:p w14:paraId="0FDE225D" w14:textId="12E076EF" w:rsidR="008A22CF" w:rsidRPr="00863CA9" w:rsidRDefault="008A22CF" w:rsidP="008A22CF">
      <w:pPr>
        <w:pStyle w:val="3GPPHeader"/>
        <w:rPr>
          <w:sz w:val="22"/>
        </w:rPr>
      </w:pPr>
      <w:r w:rsidRPr="00863CA9">
        <w:rPr>
          <w:sz w:val="22"/>
        </w:rPr>
        <w:t>Agenda Item:</w:t>
      </w:r>
      <w:r w:rsidRPr="00863CA9">
        <w:rPr>
          <w:sz w:val="22"/>
        </w:rPr>
        <w:tab/>
      </w:r>
      <w:r w:rsidR="00C34157">
        <w:rPr>
          <w:sz w:val="22"/>
        </w:rPr>
        <w:t>7.16.1.3</w:t>
      </w:r>
    </w:p>
    <w:p w14:paraId="57D8FDDC" w14:textId="59E8C7E0" w:rsidR="008A22CF" w:rsidRPr="00442065" w:rsidRDefault="008A22CF" w:rsidP="008A22CF">
      <w:pPr>
        <w:pStyle w:val="3GPPHeader"/>
        <w:rPr>
          <w:sz w:val="22"/>
        </w:rPr>
      </w:pPr>
      <w:r w:rsidRPr="00442065">
        <w:rPr>
          <w:sz w:val="22"/>
        </w:rPr>
        <w:t>Source:</w:t>
      </w:r>
      <w:r w:rsidRPr="00442065">
        <w:rPr>
          <w:sz w:val="22"/>
        </w:rPr>
        <w:tab/>
        <w:t>Ericsson</w:t>
      </w:r>
    </w:p>
    <w:p w14:paraId="3A8FC3FA" w14:textId="2B79D9B4" w:rsidR="008A22CF" w:rsidRPr="00442065" w:rsidRDefault="008A22CF" w:rsidP="008A22CF">
      <w:pPr>
        <w:pStyle w:val="3GPPHeader"/>
        <w:rPr>
          <w:sz w:val="22"/>
        </w:rPr>
      </w:pPr>
      <w:r w:rsidRPr="00442065">
        <w:rPr>
          <w:sz w:val="22"/>
        </w:rPr>
        <w:t>Title:</w:t>
      </w:r>
      <w:r w:rsidRPr="00442065">
        <w:rPr>
          <w:sz w:val="22"/>
        </w:rPr>
        <w:tab/>
      </w:r>
      <w:r w:rsidR="00F90F73" w:rsidRPr="00F90F73">
        <w:rPr>
          <w:sz w:val="22"/>
        </w:rPr>
        <w:t>PDSCH demodulation requirements with power imbalanced condition</w:t>
      </w:r>
      <w:r w:rsidR="00930E4F">
        <w:rPr>
          <w:sz w:val="22"/>
        </w:rPr>
        <w:t xml:space="preserve"> </w:t>
      </w:r>
    </w:p>
    <w:p w14:paraId="385E2C9B" w14:textId="7AD27AC0" w:rsidR="008A22CF" w:rsidRPr="00442065" w:rsidRDefault="008A22CF" w:rsidP="008A22CF">
      <w:pPr>
        <w:pStyle w:val="3GPPHeader"/>
        <w:rPr>
          <w:sz w:val="22"/>
        </w:rPr>
      </w:pPr>
      <w:r w:rsidRPr="00442065">
        <w:rPr>
          <w:sz w:val="22"/>
        </w:rPr>
        <w:t>Document for:</w:t>
      </w:r>
      <w:r w:rsidRPr="00442065">
        <w:rPr>
          <w:sz w:val="22"/>
        </w:rPr>
        <w:tab/>
      </w:r>
      <w:r w:rsidR="00F60163" w:rsidRPr="00442065">
        <w:rPr>
          <w:sz w:val="22"/>
        </w:rPr>
        <w:t>Discussion</w:t>
      </w:r>
    </w:p>
    <w:p w14:paraId="1DE8240F" w14:textId="3E02A313" w:rsidR="009B01F8" w:rsidRPr="00442065" w:rsidRDefault="009B01F8" w:rsidP="009B01F8">
      <w:pPr>
        <w:pStyle w:val="Heading1"/>
        <w:rPr>
          <w:lang w:val="en-US"/>
        </w:rPr>
      </w:pPr>
      <w:r w:rsidRPr="00442065">
        <w:rPr>
          <w:lang w:val="en-US"/>
        </w:rPr>
        <w:t>1</w:t>
      </w:r>
      <w:r w:rsidRPr="00442065">
        <w:rPr>
          <w:lang w:val="en-US"/>
        </w:rPr>
        <w:tab/>
        <w:t>Introduction</w:t>
      </w:r>
    </w:p>
    <w:p w14:paraId="2E8C7540" w14:textId="4E4F5E71" w:rsidR="00580A5A" w:rsidRPr="00442065" w:rsidRDefault="009B01F8" w:rsidP="009B01F8">
      <w:r w:rsidRPr="00442065">
        <w:t>RAN</w:t>
      </w:r>
      <w:r w:rsidR="00C71AC3" w:rsidRPr="00442065">
        <w:t>4</w:t>
      </w:r>
      <w:r w:rsidR="00957D64" w:rsidRPr="00442065">
        <w:t>#9</w:t>
      </w:r>
      <w:r w:rsidR="008C2810">
        <w:t>6</w:t>
      </w:r>
      <w:r w:rsidR="00957D64" w:rsidRPr="00442065">
        <w:t>-e</w:t>
      </w:r>
      <w:r w:rsidR="00C71AC3" w:rsidRPr="00442065">
        <w:t xml:space="preserve"> agreed </w:t>
      </w:r>
      <w:r w:rsidR="00596A12" w:rsidRPr="00442065">
        <w:t>with</w:t>
      </w:r>
      <w:r w:rsidR="00C71AC3" w:rsidRPr="00442065">
        <w:t xml:space="preserve"> the way forward</w:t>
      </w:r>
      <w:r w:rsidR="00B35992" w:rsidRPr="00442065">
        <w:t xml:space="preserve"> on</w:t>
      </w:r>
      <w:r w:rsidR="003A0DF4">
        <w:t xml:space="preserve"> </w:t>
      </w:r>
      <w:r w:rsidR="00E553EE">
        <w:t>PDSCH demodulation requirements with power imbalanced CA/EN-DC in FR1</w:t>
      </w:r>
      <w:r w:rsidR="003A0DF4" w:rsidRPr="003A0DF4">
        <w:t>​</w:t>
      </w:r>
      <w:r w:rsidR="00B35992" w:rsidRPr="00442065">
        <w:t xml:space="preserve"> </w:t>
      </w:r>
      <w:r w:rsidR="004B7861" w:rsidRPr="00442065">
        <w:fldChar w:fldCharType="begin"/>
      </w:r>
      <w:r w:rsidR="004B7861" w:rsidRPr="00442065">
        <w:instrText xml:space="preserve"> REF _Ref3386619 \r \h </w:instrText>
      </w:r>
      <w:r w:rsidR="004B7861" w:rsidRPr="00442065">
        <w:fldChar w:fldCharType="separate"/>
      </w:r>
      <w:r w:rsidR="00132BE0" w:rsidRPr="00442065">
        <w:t>[1]</w:t>
      </w:r>
      <w:r w:rsidR="004B7861" w:rsidRPr="00442065">
        <w:fldChar w:fldCharType="end"/>
      </w:r>
      <w:r w:rsidR="00DC040C" w:rsidRPr="00442065">
        <w:t>.</w:t>
      </w:r>
      <w:r w:rsidR="004F22BA" w:rsidRPr="00442065">
        <w:t xml:space="preserve"> </w:t>
      </w:r>
      <w:r w:rsidR="00321446">
        <w:t xml:space="preserve">We discuss the open issues on </w:t>
      </w:r>
      <w:r w:rsidR="00BF4AC5">
        <w:t xml:space="preserve">PDSCH demodulation with </w:t>
      </w:r>
      <w:r w:rsidR="00EE6439">
        <w:t xml:space="preserve">CA/EN-DC </w:t>
      </w:r>
      <w:r w:rsidR="00BF4AC5">
        <w:t>with</w:t>
      </w:r>
      <w:r w:rsidR="00EE6439">
        <w:t xml:space="preserve"> power imbalance</w:t>
      </w:r>
      <w:r w:rsidR="00321446">
        <w:t>.</w:t>
      </w:r>
    </w:p>
    <w:p w14:paraId="4729B698" w14:textId="33FE2A55" w:rsidR="0066492B" w:rsidRDefault="009B01F8" w:rsidP="0066492B">
      <w:pPr>
        <w:pStyle w:val="Heading1"/>
        <w:rPr>
          <w:lang w:val="en-US"/>
        </w:rPr>
      </w:pPr>
      <w:r w:rsidRPr="00442065">
        <w:rPr>
          <w:lang w:val="en-US"/>
        </w:rPr>
        <w:t>2</w:t>
      </w:r>
      <w:r w:rsidRPr="00442065">
        <w:rPr>
          <w:lang w:val="en-US"/>
        </w:rPr>
        <w:tab/>
      </w:r>
      <w:r w:rsidR="00A44463">
        <w:rPr>
          <w:lang w:val="en-US"/>
        </w:rPr>
        <w:t>Discussion</w:t>
      </w:r>
    </w:p>
    <w:p w14:paraId="38AAC17E" w14:textId="78F0E137" w:rsidR="006E2E3E" w:rsidRDefault="006E2E3E" w:rsidP="005A7AA0">
      <w:pPr>
        <w:pStyle w:val="Heading2"/>
      </w:pPr>
      <w:r>
        <w:t>2.1</w:t>
      </w:r>
      <w:r>
        <w:tab/>
        <w:t xml:space="preserve">NR PDSCH with </w:t>
      </w:r>
      <w:r w:rsidR="00A04AD8">
        <w:t xml:space="preserve">intra-band </w:t>
      </w:r>
      <w:r w:rsidR="00E770F2">
        <w:t xml:space="preserve">contiguous </w:t>
      </w:r>
      <w:r>
        <w:t>CA</w:t>
      </w:r>
    </w:p>
    <w:p w14:paraId="4BFCEA40" w14:textId="01EB1CF6" w:rsidR="009947C6" w:rsidRDefault="009947C6" w:rsidP="005768C6">
      <w:pPr>
        <w:pStyle w:val="Heading3"/>
      </w:pPr>
      <w:r>
        <w:t>2.1.</w:t>
      </w:r>
      <w:r w:rsidR="00CD37BB">
        <w:t>1</w:t>
      </w:r>
      <w:r>
        <w:tab/>
        <w:t>MCS</w:t>
      </w:r>
    </w:p>
    <w:tbl>
      <w:tblPr>
        <w:tblStyle w:val="TableGrid"/>
        <w:tblW w:w="0" w:type="auto"/>
        <w:tblLook w:val="04A0" w:firstRow="1" w:lastRow="0" w:firstColumn="1" w:lastColumn="0" w:noHBand="0" w:noVBand="1"/>
      </w:tblPr>
      <w:tblGrid>
        <w:gridCol w:w="9629"/>
      </w:tblGrid>
      <w:tr w:rsidR="005768C6" w14:paraId="4A76BB30" w14:textId="77777777" w:rsidTr="003C1D88">
        <w:tc>
          <w:tcPr>
            <w:tcW w:w="9629" w:type="dxa"/>
          </w:tcPr>
          <w:p w14:paraId="471D4DF4" w14:textId="77777777" w:rsidR="005768C6" w:rsidRPr="001078A9" w:rsidRDefault="005768C6" w:rsidP="003C1D88">
            <w:pPr>
              <w:pStyle w:val="TAL"/>
              <w:rPr>
                <w:lang w:val="en-GB"/>
              </w:rPr>
            </w:pPr>
            <w:r w:rsidRPr="001078A9">
              <w:rPr>
                <w:lang w:val="en-GB"/>
              </w:rPr>
              <w:t>MCS​</w:t>
            </w:r>
          </w:p>
          <w:p w14:paraId="4A44529F" w14:textId="77777777" w:rsidR="005768C6" w:rsidRDefault="005768C6" w:rsidP="003C1D88">
            <w:pPr>
              <w:pStyle w:val="TAL"/>
              <w:numPr>
                <w:ilvl w:val="0"/>
                <w:numId w:val="22"/>
              </w:numPr>
              <w:rPr>
                <w:lang w:val="en-GB"/>
              </w:rPr>
            </w:pPr>
            <w:r w:rsidRPr="001078A9">
              <w:rPr>
                <w:lang w:val="en-GB"/>
              </w:rPr>
              <w:t>Modulation order: 64QAM for 2Rx and 4Rx​</w:t>
            </w:r>
          </w:p>
          <w:p w14:paraId="3A227474" w14:textId="77777777" w:rsidR="005768C6" w:rsidRDefault="005768C6" w:rsidP="003C1D88">
            <w:pPr>
              <w:pStyle w:val="TAL"/>
              <w:numPr>
                <w:ilvl w:val="0"/>
                <w:numId w:val="22"/>
              </w:numPr>
              <w:rPr>
                <w:lang w:val="en-GB"/>
              </w:rPr>
            </w:pPr>
            <w:r w:rsidRPr="001078A9">
              <w:rPr>
                <w:lang w:val="en-GB"/>
              </w:rPr>
              <w:t>MCS​</w:t>
            </w:r>
          </w:p>
          <w:p w14:paraId="56DA660C" w14:textId="77777777" w:rsidR="005768C6" w:rsidRDefault="005768C6" w:rsidP="00156C5D">
            <w:pPr>
              <w:pStyle w:val="TAL"/>
              <w:numPr>
                <w:ilvl w:val="1"/>
                <w:numId w:val="22"/>
              </w:numPr>
              <w:rPr>
                <w:lang w:val="en-GB"/>
              </w:rPr>
            </w:pPr>
            <w:r w:rsidRPr="001078A9">
              <w:rPr>
                <w:lang w:val="en-GB"/>
              </w:rPr>
              <w:t>Option 1: MCS 27 for 2Rx, MCS 28 for 4Rx ​</w:t>
            </w:r>
          </w:p>
          <w:p w14:paraId="1389C762" w14:textId="77777777" w:rsidR="005768C6" w:rsidRDefault="005768C6" w:rsidP="00156C5D">
            <w:pPr>
              <w:pStyle w:val="TAL"/>
              <w:numPr>
                <w:ilvl w:val="1"/>
                <w:numId w:val="22"/>
              </w:numPr>
              <w:rPr>
                <w:lang w:val="en-GB"/>
              </w:rPr>
            </w:pPr>
            <w:r w:rsidRPr="001078A9">
              <w:rPr>
                <w:lang w:val="en-GB"/>
              </w:rPr>
              <w:t>Option 2: MCS 25 for 2Rx ​</w:t>
            </w:r>
          </w:p>
          <w:p w14:paraId="4DEE4FC3" w14:textId="750E452C" w:rsidR="005768C6" w:rsidRPr="00C74266" w:rsidRDefault="005768C6" w:rsidP="003C1D88">
            <w:pPr>
              <w:pStyle w:val="TAL"/>
            </w:pPr>
            <w:r>
              <w:t>​</w:t>
            </w:r>
          </w:p>
        </w:tc>
      </w:tr>
    </w:tbl>
    <w:p w14:paraId="47F807FD" w14:textId="3B798981" w:rsidR="005768C6" w:rsidRDefault="005768C6" w:rsidP="005768C6">
      <w:pPr>
        <w:rPr>
          <w:lang w:val="en-GB"/>
        </w:rPr>
      </w:pPr>
    </w:p>
    <w:p w14:paraId="409CFC18" w14:textId="53583DFD" w:rsidR="000F32A0" w:rsidRDefault="000F32A0" w:rsidP="005768C6">
      <w:pPr>
        <w:rPr>
          <w:lang w:val="en-GB"/>
        </w:rPr>
      </w:pPr>
      <w:r>
        <w:rPr>
          <w:lang w:val="en-GB"/>
        </w:rPr>
        <w:t xml:space="preserve">One remaining open issue </w:t>
      </w:r>
      <w:r w:rsidR="000E33EA">
        <w:rPr>
          <w:lang w:val="en-GB"/>
        </w:rPr>
        <w:t xml:space="preserve">on intra-band contiguous CA (and intra-band contiguous EN-DC) is </w:t>
      </w:r>
      <w:r w:rsidR="00467A3D">
        <w:rPr>
          <w:lang w:val="en-GB"/>
        </w:rPr>
        <w:t xml:space="preserve">the </w:t>
      </w:r>
      <w:r w:rsidR="000E33EA">
        <w:rPr>
          <w:lang w:val="en-GB"/>
        </w:rPr>
        <w:t xml:space="preserve">MCS </w:t>
      </w:r>
      <w:r w:rsidR="004F06B9">
        <w:rPr>
          <w:lang w:val="en-GB"/>
        </w:rPr>
        <w:t xml:space="preserve">setting </w:t>
      </w:r>
      <w:r w:rsidR="000E33EA">
        <w:rPr>
          <w:lang w:val="en-GB"/>
        </w:rPr>
        <w:t xml:space="preserve">for PDSCH </w:t>
      </w:r>
      <w:r w:rsidR="004B305C">
        <w:rPr>
          <w:lang w:val="en-GB"/>
        </w:rPr>
        <w:t>transmission.</w:t>
      </w:r>
      <w:r w:rsidR="006E7A67">
        <w:rPr>
          <w:lang w:val="en-GB"/>
        </w:rPr>
        <w:t xml:space="preserve"> </w:t>
      </w:r>
      <w:r w:rsidR="001A19B7">
        <w:rPr>
          <w:lang w:val="en-GB"/>
        </w:rPr>
        <w:fldChar w:fldCharType="begin"/>
      </w:r>
      <w:r w:rsidR="001A19B7">
        <w:rPr>
          <w:lang w:val="en-GB"/>
        </w:rPr>
        <w:instrText xml:space="preserve"> REF _Ref53497015 \h </w:instrText>
      </w:r>
      <w:r w:rsidR="001A19B7">
        <w:rPr>
          <w:lang w:val="en-GB"/>
        </w:rPr>
      </w:r>
      <w:r w:rsidR="001A19B7">
        <w:rPr>
          <w:lang w:val="en-GB"/>
        </w:rPr>
        <w:fldChar w:fldCharType="separate"/>
      </w:r>
      <w:r w:rsidR="001A19B7">
        <w:t xml:space="preserve">Figure </w:t>
      </w:r>
      <w:r w:rsidR="001A19B7">
        <w:rPr>
          <w:noProof/>
        </w:rPr>
        <w:t>1</w:t>
      </w:r>
      <w:r w:rsidR="001A19B7">
        <w:rPr>
          <w:lang w:val="en-GB"/>
        </w:rPr>
        <w:fldChar w:fldCharType="end"/>
      </w:r>
      <w:r w:rsidR="001A19B7">
        <w:rPr>
          <w:lang w:val="en-GB"/>
        </w:rPr>
        <w:t xml:space="preserve"> shows our ideal simulation results based on the parameters in </w:t>
      </w:r>
      <w:r w:rsidR="001A19B7">
        <w:rPr>
          <w:lang w:val="en-GB"/>
        </w:rPr>
        <w:fldChar w:fldCharType="begin"/>
      </w:r>
      <w:r w:rsidR="001A19B7">
        <w:rPr>
          <w:lang w:val="en-GB"/>
        </w:rPr>
        <w:instrText xml:space="preserve"> REF _Ref53497025 \h </w:instrText>
      </w:r>
      <w:r w:rsidR="001A19B7">
        <w:rPr>
          <w:lang w:val="en-GB"/>
        </w:rPr>
      </w:r>
      <w:r w:rsidR="001A19B7">
        <w:rPr>
          <w:lang w:val="en-GB"/>
        </w:rPr>
        <w:fldChar w:fldCharType="separate"/>
      </w:r>
      <w:r w:rsidR="001A19B7">
        <w:t xml:space="preserve">Table </w:t>
      </w:r>
      <w:r w:rsidR="001A19B7">
        <w:rPr>
          <w:noProof/>
        </w:rPr>
        <w:t>1</w:t>
      </w:r>
      <w:r w:rsidR="001A19B7">
        <w:rPr>
          <w:lang w:val="en-GB"/>
        </w:rPr>
        <w:fldChar w:fldCharType="end"/>
      </w:r>
      <w:r w:rsidR="000D207B">
        <w:rPr>
          <w:lang w:val="en-GB"/>
        </w:rPr>
        <w:t xml:space="preserve">, and </w:t>
      </w:r>
      <w:r w:rsidR="000D207B">
        <w:rPr>
          <w:lang w:val="en-GB"/>
        </w:rPr>
        <w:fldChar w:fldCharType="begin"/>
      </w:r>
      <w:r w:rsidR="000D207B">
        <w:rPr>
          <w:lang w:val="en-GB"/>
        </w:rPr>
        <w:instrText xml:space="preserve"> REF _Ref54024498 \h </w:instrText>
      </w:r>
      <w:r w:rsidR="000D207B">
        <w:rPr>
          <w:lang w:val="en-GB"/>
        </w:rPr>
      </w:r>
      <w:r w:rsidR="000D207B">
        <w:rPr>
          <w:lang w:val="en-GB"/>
        </w:rPr>
        <w:fldChar w:fldCharType="separate"/>
      </w:r>
      <w:r w:rsidR="000D207B">
        <w:t xml:space="preserve">Table </w:t>
      </w:r>
      <w:r w:rsidR="000D207B">
        <w:rPr>
          <w:noProof/>
        </w:rPr>
        <w:t>2</w:t>
      </w:r>
      <w:r w:rsidR="000D207B">
        <w:rPr>
          <w:lang w:val="en-GB"/>
        </w:rPr>
        <w:fldChar w:fldCharType="end"/>
      </w:r>
      <w:r w:rsidR="000D207B">
        <w:rPr>
          <w:lang w:val="en-GB"/>
        </w:rPr>
        <w:t xml:space="preserve"> summarizes the required SNR </w:t>
      </w:r>
      <w:r w:rsidR="00DE3DE9">
        <w:rPr>
          <w:lang w:val="en-GB"/>
        </w:rPr>
        <w:t>levels</w:t>
      </w:r>
      <w:r w:rsidR="000D207B">
        <w:rPr>
          <w:lang w:val="en-GB"/>
        </w:rPr>
        <w:t xml:space="preserve"> to achieve 85% of maximum throu</w:t>
      </w:r>
      <w:r w:rsidR="00862EC3">
        <w:rPr>
          <w:lang w:val="en-GB"/>
        </w:rPr>
        <w:t xml:space="preserve">ghput. </w:t>
      </w:r>
    </w:p>
    <w:p w14:paraId="7351F826" w14:textId="6DB7FC50" w:rsidR="00B16E6A" w:rsidRDefault="00683450" w:rsidP="00683450">
      <w:pPr>
        <w:pStyle w:val="Caption"/>
        <w:rPr>
          <w:lang w:val="en-GB"/>
        </w:rPr>
      </w:pPr>
      <w:bookmarkStart w:id="4" w:name="_Ref53497025"/>
      <w:r>
        <w:t xml:space="preserve">Table </w:t>
      </w:r>
      <w:fldSimple w:instr=" SEQ Table \* ARABIC ">
        <w:r w:rsidR="006D637D">
          <w:rPr>
            <w:noProof/>
          </w:rPr>
          <w:t>1</w:t>
        </w:r>
      </w:fldSimple>
      <w:bookmarkEnd w:id="4"/>
      <w:r>
        <w:tab/>
      </w:r>
      <w:r>
        <w:rPr>
          <w:lang w:val="en-GB"/>
        </w:rPr>
        <w:t>Simulation parameters for PDSCH with intra-band contiguous CA with power imbalance.</w:t>
      </w:r>
    </w:p>
    <w:tbl>
      <w:tblPr>
        <w:tblStyle w:val="TableGrid"/>
        <w:tblW w:w="0" w:type="auto"/>
        <w:tblLook w:val="04A0" w:firstRow="1" w:lastRow="0" w:firstColumn="1" w:lastColumn="0" w:noHBand="0" w:noVBand="1"/>
      </w:tblPr>
      <w:tblGrid>
        <w:gridCol w:w="4814"/>
        <w:gridCol w:w="4815"/>
      </w:tblGrid>
      <w:tr w:rsidR="00127375" w14:paraId="3856DB5D" w14:textId="77777777" w:rsidTr="00127375">
        <w:tc>
          <w:tcPr>
            <w:tcW w:w="4814" w:type="dxa"/>
          </w:tcPr>
          <w:p w14:paraId="5BDC6CDC" w14:textId="4E75EF23" w:rsidR="00127375" w:rsidRDefault="00127375" w:rsidP="00551EA0">
            <w:pPr>
              <w:pStyle w:val="TAH"/>
              <w:rPr>
                <w:lang w:val="en-GB"/>
              </w:rPr>
            </w:pPr>
            <w:r>
              <w:rPr>
                <w:lang w:val="en-GB"/>
              </w:rPr>
              <w:lastRenderedPageBreak/>
              <w:t>Parameters</w:t>
            </w:r>
          </w:p>
        </w:tc>
        <w:tc>
          <w:tcPr>
            <w:tcW w:w="4815" w:type="dxa"/>
          </w:tcPr>
          <w:p w14:paraId="3249127C" w14:textId="515FD217" w:rsidR="00127375" w:rsidRDefault="00127375" w:rsidP="00551EA0">
            <w:pPr>
              <w:pStyle w:val="TAH"/>
              <w:rPr>
                <w:lang w:val="en-GB"/>
              </w:rPr>
            </w:pPr>
            <w:r>
              <w:rPr>
                <w:lang w:val="en-GB"/>
              </w:rPr>
              <w:t>Values</w:t>
            </w:r>
          </w:p>
        </w:tc>
      </w:tr>
      <w:tr w:rsidR="005E07B3" w14:paraId="104E607B" w14:textId="77777777" w:rsidTr="00127375">
        <w:tc>
          <w:tcPr>
            <w:tcW w:w="4814" w:type="dxa"/>
          </w:tcPr>
          <w:p w14:paraId="4D4A131E" w14:textId="6B2F9A40" w:rsidR="005E07B3" w:rsidRDefault="005E07B3" w:rsidP="005E07B3">
            <w:pPr>
              <w:pStyle w:val="TAL"/>
              <w:rPr>
                <w:lang w:val="en-GB"/>
              </w:rPr>
            </w:pPr>
            <w:r>
              <w:rPr>
                <w:lang w:val="en-GB"/>
              </w:rPr>
              <w:t>CBW and SCS</w:t>
            </w:r>
          </w:p>
        </w:tc>
        <w:tc>
          <w:tcPr>
            <w:tcW w:w="4815" w:type="dxa"/>
          </w:tcPr>
          <w:p w14:paraId="5A56F1BE" w14:textId="638A39DB" w:rsidR="005E07B3" w:rsidRDefault="00EB57B6" w:rsidP="005E07B3">
            <w:pPr>
              <w:pStyle w:val="TAL"/>
              <w:rPr>
                <w:lang w:val="en-GB"/>
              </w:rPr>
            </w:pPr>
            <w:r>
              <w:rPr>
                <w:lang w:val="en-GB"/>
              </w:rPr>
              <w:t>10M</w:t>
            </w:r>
            <w:r w:rsidR="005E07B3">
              <w:rPr>
                <w:lang w:val="en-GB"/>
              </w:rPr>
              <w:t xml:space="preserve">Hz for </w:t>
            </w:r>
            <w:r>
              <w:rPr>
                <w:lang w:val="en-GB"/>
              </w:rPr>
              <w:t xml:space="preserve">FDD </w:t>
            </w:r>
            <w:r w:rsidR="005E07B3">
              <w:rPr>
                <w:lang w:val="en-GB"/>
              </w:rPr>
              <w:t>SCS=15kHz</w:t>
            </w:r>
          </w:p>
          <w:p w14:paraId="2DCC43B6" w14:textId="267716D3" w:rsidR="005E07B3" w:rsidRDefault="00C502FF" w:rsidP="005E07B3">
            <w:pPr>
              <w:pStyle w:val="TAL"/>
              <w:rPr>
                <w:lang w:val="en-GB"/>
              </w:rPr>
            </w:pPr>
            <w:r>
              <w:rPr>
                <w:lang w:val="en-GB"/>
              </w:rPr>
              <w:t>4</w:t>
            </w:r>
            <w:r w:rsidR="005E07B3">
              <w:rPr>
                <w:lang w:val="en-GB"/>
              </w:rPr>
              <w:t>0MHz</w:t>
            </w:r>
            <w:r w:rsidR="00EB57B6">
              <w:rPr>
                <w:lang w:val="en-GB"/>
              </w:rPr>
              <w:t xml:space="preserve"> for TDD</w:t>
            </w:r>
            <w:r w:rsidR="005E07B3">
              <w:rPr>
                <w:lang w:val="en-GB"/>
              </w:rPr>
              <w:t xml:space="preserve"> SCS=30kHz</w:t>
            </w:r>
          </w:p>
        </w:tc>
      </w:tr>
      <w:tr w:rsidR="005E07B3" w14:paraId="15F70039" w14:textId="77777777" w:rsidTr="00796D11">
        <w:tc>
          <w:tcPr>
            <w:tcW w:w="4814" w:type="dxa"/>
            <w:vAlign w:val="center"/>
          </w:tcPr>
          <w:p w14:paraId="772A6117" w14:textId="67260994" w:rsidR="005E07B3" w:rsidRDefault="005E07B3" w:rsidP="005E07B3">
            <w:pPr>
              <w:pStyle w:val="TAL"/>
              <w:rPr>
                <w:lang w:val="en-GB"/>
              </w:rPr>
            </w:pPr>
            <w:r w:rsidRPr="00127375">
              <w:rPr>
                <w:rFonts w:hint="eastAsia"/>
              </w:rPr>
              <w:t>Reference testing point</w:t>
            </w:r>
            <w:r w:rsidRPr="00127375">
              <w:rPr>
                <w:rFonts w:ascii="MS Mincho" w:eastAsia="MS Mincho" w:hAnsi="MS Mincho" w:cs="MS Mincho" w:hint="eastAsia"/>
              </w:rPr>
              <w:t>​</w:t>
            </w:r>
          </w:p>
        </w:tc>
        <w:tc>
          <w:tcPr>
            <w:tcW w:w="4815" w:type="dxa"/>
            <w:vAlign w:val="center"/>
          </w:tcPr>
          <w:p w14:paraId="2FDB952F" w14:textId="394A5B4B" w:rsidR="005E07B3" w:rsidRDefault="005E07B3" w:rsidP="005E07B3">
            <w:pPr>
              <w:pStyle w:val="TAL"/>
              <w:rPr>
                <w:lang w:val="en-GB"/>
              </w:rPr>
            </w:pPr>
            <w:r w:rsidRPr="00127375">
              <w:rPr>
                <w:rFonts w:hint="eastAsia"/>
              </w:rPr>
              <w:t>85% of maximum throughput </w:t>
            </w:r>
            <w:r w:rsidRPr="00127375">
              <w:rPr>
                <w:rFonts w:ascii="MS Mincho" w:eastAsia="MS Mincho" w:hAnsi="MS Mincho" w:cs="MS Mincho" w:hint="eastAsia"/>
              </w:rPr>
              <w:t>​</w:t>
            </w:r>
          </w:p>
        </w:tc>
      </w:tr>
      <w:tr w:rsidR="005E07B3" w14:paraId="1DD559C3" w14:textId="77777777" w:rsidTr="00796D11">
        <w:tc>
          <w:tcPr>
            <w:tcW w:w="4814" w:type="dxa"/>
            <w:vAlign w:val="center"/>
          </w:tcPr>
          <w:p w14:paraId="3FD03D82" w14:textId="749D0EA1" w:rsidR="005E07B3" w:rsidRDefault="005E07B3" w:rsidP="005E07B3">
            <w:pPr>
              <w:pStyle w:val="TAL"/>
              <w:rPr>
                <w:lang w:val="en-GB"/>
              </w:rPr>
            </w:pPr>
            <w:r w:rsidRPr="00127375">
              <w:rPr>
                <w:rFonts w:hint="eastAsia"/>
              </w:rPr>
              <w:t>PDSCH DMRS configurations</w:t>
            </w:r>
            <w:r w:rsidRPr="00127375">
              <w:rPr>
                <w:rFonts w:ascii="MS Mincho" w:eastAsia="MS Mincho" w:hAnsi="MS Mincho" w:cs="MS Mincho" w:hint="eastAsia"/>
              </w:rPr>
              <w:t>​</w:t>
            </w:r>
          </w:p>
        </w:tc>
        <w:tc>
          <w:tcPr>
            <w:tcW w:w="4815" w:type="dxa"/>
            <w:vAlign w:val="center"/>
          </w:tcPr>
          <w:p w14:paraId="48473425" w14:textId="77777777" w:rsidR="005E07B3" w:rsidRPr="00127375" w:rsidRDefault="005E07B3" w:rsidP="005E07B3">
            <w:pPr>
              <w:pStyle w:val="TAL"/>
            </w:pPr>
            <w:r w:rsidRPr="00127375">
              <w:rPr>
                <w:rFonts w:hint="eastAsia"/>
              </w:rPr>
              <w:t>DMRS type: Type 1</w:t>
            </w:r>
            <w:r w:rsidRPr="00127375">
              <w:rPr>
                <w:rFonts w:ascii="MS Mincho" w:eastAsia="MS Mincho" w:hAnsi="MS Mincho" w:cs="MS Mincho" w:hint="eastAsia"/>
              </w:rPr>
              <w:t>​</w:t>
            </w:r>
          </w:p>
          <w:p w14:paraId="32D483E9" w14:textId="6EA83A71" w:rsidR="005E07B3" w:rsidRDefault="005E07B3" w:rsidP="005E07B3">
            <w:pPr>
              <w:pStyle w:val="TAL"/>
              <w:rPr>
                <w:lang w:val="en-GB"/>
              </w:rPr>
            </w:pPr>
            <w:r w:rsidRPr="00127375">
              <w:rPr>
                <w:rFonts w:hint="eastAsia"/>
              </w:rPr>
              <w:t>Number of additional DMRS: 1 (i.e., 1+1)</w:t>
            </w:r>
            <w:r w:rsidRPr="00127375">
              <w:rPr>
                <w:rFonts w:ascii="MS Mincho" w:eastAsia="MS Mincho" w:hAnsi="MS Mincho" w:cs="MS Mincho" w:hint="eastAsia"/>
              </w:rPr>
              <w:t>​</w:t>
            </w:r>
          </w:p>
        </w:tc>
      </w:tr>
      <w:tr w:rsidR="005E07B3" w14:paraId="0629B05D" w14:textId="77777777" w:rsidTr="00796D11">
        <w:tc>
          <w:tcPr>
            <w:tcW w:w="4814" w:type="dxa"/>
            <w:vAlign w:val="center"/>
          </w:tcPr>
          <w:p w14:paraId="1CE158B2" w14:textId="25AC00D6" w:rsidR="005E07B3" w:rsidRDefault="005E07B3" w:rsidP="005E07B3">
            <w:pPr>
              <w:pStyle w:val="TAL"/>
              <w:rPr>
                <w:lang w:val="en-GB"/>
              </w:rPr>
            </w:pPr>
            <w:r>
              <w:t>Antenna configuration and r</w:t>
            </w:r>
            <w:r w:rsidRPr="00127375">
              <w:rPr>
                <w:rFonts w:hint="eastAsia"/>
              </w:rPr>
              <w:t>ank</w:t>
            </w:r>
            <w:r w:rsidRPr="00127375">
              <w:rPr>
                <w:rFonts w:ascii="MS Mincho" w:eastAsia="MS Mincho" w:hAnsi="MS Mincho" w:cs="MS Mincho" w:hint="eastAsia"/>
              </w:rPr>
              <w:t>​</w:t>
            </w:r>
          </w:p>
        </w:tc>
        <w:tc>
          <w:tcPr>
            <w:tcW w:w="4815" w:type="dxa"/>
            <w:vAlign w:val="center"/>
          </w:tcPr>
          <w:p w14:paraId="6BC4BD0E" w14:textId="77777777" w:rsidR="005E07B3" w:rsidRDefault="005E07B3" w:rsidP="005E07B3">
            <w:pPr>
              <w:pStyle w:val="TAL"/>
            </w:pPr>
            <w:r>
              <w:t>1x2, 1x4</w:t>
            </w:r>
          </w:p>
          <w:p w14:paraId="0C1469C0" w14:textId="5F6CCB6B" w:rsidR="005E07B3" w:rsidRDefault="005E07B3" w:rsidP="005E07B3">
            <w:pPr>
              <w:pStyle w:val="TAL"/>
              <w:rPr>
                <w:lang w:val="en-GB"/>
              </w:rPr>
            </w:pPr>
            <w:r w:rsidRPr="00127375">
              <w:rPr>
                <w:rFonts w:hint="eastAsia"/>
              </w:rPr>
              <w:t>Rank 1</w:t>
            </w:r>
            <w:r w:rsidRPr="00127375">
              <w:rPr>
                <w:rFonts w:ascii="MS Mincho" w:eastAsia="MS Mincho" w:hAnsi="MS Mincho" w:cs="MS Mincho" w:hint="eastAsia"/>
              </w:rPr>
              <w:t>​</w:t>
            </w:r>
          </w:p>
        </w:tc>
      </w:tr>
      <w:tr w:rsidR="005E07B3" w14:paraId="388C73CE" w14:textId="77777777" w:rsidTr="00796D11">
        <w:tc>
          <w:tcPr>
            <w:tcW w:w="4814" w:type="dxa"/>
            <w:vAlign w:val="center"/>
          </w:tcPr>
          <w:p w14:paraId="085F8973" w14:textId="3208E1DC" w:rsidR="005E07B3" w:rsidRDefault="005E07B3" w:rsidP="005E07B3">
            <w:pPr>
              <w:pStyle w:val="TAL"/>
              <w:rPr>
                <w:lang w:val="en-GB"/>
              </w:rPr>
            </w:pPr>
            <w:r w:rsidRPr="00127375">
              <w:rPr>
                <w:rFonts w:hint="eastAsia"/>
              </w:rPr>
              <w:t>MCS</w:t>
            </w:r>
            <w:r w:rsidRPr="00127375">
              <w:rPr>
                <w:rFonts w:ascii="MS Mincho" w:eastAsia="MS Mincho" w:hAnsi="MS Mincho" w:cs="MS Mincho" w:hint="eastAsia"/>
              </w:rPr>
              <w:t>​</w:t>
            </w:r>
          </w:p>
        </w:tc>
        <w:tc>
          <w:tcPr>
            <w:tcW w:w="4815" w:type="dxa"/>
            <w:vAlign w:val="center"/>
          </w:tcPr>
          <w:p w14:paraId="5428B3F4" w14:textId="54880058" w:rsidR="005E07B3" w:rsidRPr="005934FD" w:rsidRDefault="005E07B3" w:rsidP="007D7B54">
            <w:pPr>
              <w:pStyle w:val="TAL"/>
              <w:rPr>
                <w:lang w:val="en-GB"/>
              </w:rPr>
            </w:pPr>
            <w:r>
              <w:rPr>
                <w:lang w:val="en-GB"/>
              </w:rPr>
              <w:t>64QAM</w:t>
            </w:r>
            <w:r w:rsidR="007D7B54">
              <w:rPr>
                <w:lang w:val="en-GB"/>
              </w:rPr>
              <w:t>: MCS 25, MCS2</w:t>
            </w:r>
            <w:r w:rsidR="009119DC">
              <w:rPr>
                <w:lang w:val="en-GB"/>
              </w:rPr>
              <w:t>7</w:t>
            </w:r>
          </w:p>
        </w:tc>
      </w:tr>
      <w:tr w:rsidR="005E07B3" w14:paraId="5C324149" w14:textId="77777777" w:rsidTr="00796D11">
        <w:tc>
          <w:tcPr>
            <w:tcW w:w="4814" w:type="dxa"/>
            <w:vAlign w:val="center"/>
          </w:tcPr>
          <w:p w14:paraId="7F436958" w14:textId="7CD0ED2F" w:rsidR="005E07B3" w:rsidRDefault="005E07B3" w:rsidP="005E07B3">
            <w:pPr>
              <w:pStyle w:val="TAL"/>
              <w:rPr>
                <w:lang w:val="en-GB"/>
              </w:rPr>
            </w:pPr>
            <w:r w:rsidRPr="00127375">
              <w:rPr>
                <w:rFonts w:hint="eastAsia"/>
              </w:rPr>
              <w:t>Max number of HARQ transmission</w:t>
            </w:r>
            <w:r w:rsidRPr="00127375">
              <w:rPr>
                <w:rFonts w:ascii="MS Mincho" w:eastAsia="MS Mincho" w:hAnsi="MS Mincho" w:cs="MS Mincho" w:hint="eastAsia"/>
              </w:rPr>
              <w:t>​</w:t>
            </w:r>
          </w:p>
        </w:tc>
        <w:tc>
          <w:tcPr>
            <w:tcW w:w="4815" w:type="dxa"/>
            <w:vAlign w:val="center"/>
          </w:tcPr>
          <w:p w14:paraId="582D480F" w14:textId="762811B1" w:rsidR="005E07B3" w:rsidRDefault="005E07B3" w:rsidP="005E07B3">
            <w:pPr>
              <w:pStyle w:val="TAL"/>
              <w:rPr>
                <w:lang w:val="en-GB"/>
              </w:rPr>
            </w:pPr>
            <w:r w:rsidRPr="00127375">
              <w:rPr>
                <w:rFonts w:hint="eastAsia"/>
              </w:rPr>
              <w:t>1 (RV = {0})</w:t>
            </w:r>
            <w:r w:rsidRPr="00127375">
              <w:rPr>
                <w:rFonts w:ascii="MS Mincho" w:eastAsia="MS Mincho" w:hAnsi="MS Mincho" w:cs="MS Mincho" w:hint="eastAsia"/>
              </w:rPr>
              <w:t>​</w:t>
            </w:r>
          </w:p>
        </w:tc>
      </w:tr>
      <w:tr w:rsidR="005E07B3" w14:paraId="2E28520C" w14:textId="77777777" w:rsidTr="00796D11">
        <w:tc>
          <w:tcPr>
            <w:tcW w:w="4814" w:type="dxa"/>
            <w:vAlign w:val="center"/>
          </w:tcPr>
          <w:p w14:paraId="0EFF858F" w14:textId="7A3BA99C" w:rsidR="005E07B3" w:rsidRDefault="005E07B3" w:rsidP="005E07B3">
            <w:pPr>
              <w:pStyle w:val="TAL"/>
              <w:rPr>
                <w:lang w:val="en-GB"/>
              </w:rPr>
            </w:pPr>
            <w:r w:rsidRPr="00127375">
              <w:rPr>
                <w:rFonts w:hint="eastAsia"/>
              </w:rPr>
              <w:t>Precoding configuration</w:t>
            </w:r>
            <w:r w:rsidRPr="00127375">
              <w:rPr>
                <w:rFonts w:ascii="MS Mincho" w:eastAsia="MS Mincho" w:hAnsi="MS Mincho" w:cs="MS Mincho" w:hint="eastAsia"/>
              </w:rPr>
              <w:t>​</w:t>
            </w:r>
          </w:p>
        </w:tc>
        <w:tc>
          <w:tcPr>
            <w:tcW w:w="4815" w:type="dxa"/>
            <w:vAlign w:val="center"/>
          </w:tcPr>
          <w:p w14:paraId="7BB371F9" w14:textId="5DE6BEAE" w:rsidR="005E07B3" w:rsidRDefault="005E07B3" w:rsidP="005E07B3">
            <w:pPr>
              <w:pStyle w:val="TAL"/>
              <w:rPr>
                <w:lang w:val="en-GB"/>
              </w:rPr>
            </w:pPr>
            <w:r w:rsidRPr="00127375">
              <w:rPr>
                <w:rFonts w:hint="eastAsia"/>
              </w:rPr>
              <w:t>SP Type I, Random per slot with PRB bundling granularity</w:t>
            </w:r>
            <w:r w:rsidRPr="00127375">
              <w:rPr>
                <w:rFonts w:ascii="MS Mincho" w:eastAsia="MS Mincho" w:hAnsi="MS Mincho" w:cs="MS Mincho" w:hint="eastAsia"/>
              </w:rPr>
              <w:t>​</w:t>
            </w:r>
          </w:p>
        </w:tc>
      </w:tr>
      <w:tr w:rsidR="005E07B3" w14:paraId="245E8BF6" w14:textId="77777777" w:rsidTr="00796D11">
        <w:tc>
          <w:tcPr>
            <w:tcW w:w="4814" w:type="dxa"/>
            <w:vAlign w:val="center"/>
          </w:tcPr>
          <w:p w14:paraId="093A59A0" w14:textId="782E0089" w:rsidR="005E07B3" w:rsidRDefault="005E07B3" w:rsidP="005E07B3">
            <w:pPr>
              <w:pStyle w:val="TAL"/>
              <w:rPr>
                <w:lang w:val="en-GB"/>
              </w:rPr>
            </w:pPr>
            <w:r w:rsidRPr="00127375">
              <w:rPr>
                <w:rFonts w:hint="eastAsia"/>
              </w:rPr>
              <w:t>PRB bundling size</w:t>
            </w:r>
            <w:r w:rsidRPr="00127375">
              <w:rPr>
                <w:rFonts w:ascii="MS Mincho" w:eastAsia="MS Mincho" w:hAnsi="MS Mincho" w:cs="MS Mincho" w:hint="eastAsia"/>
              </w:rPr>
              <w:t>​</w:t>
            </w:r>
          </w:p>
        </w:tc>
        <w:tc>
          <w:tcPr>
            <w:tcW w:w="4815" w:type="dxa"/>
            <w:vAlign w:val="center"/>
          </w:tcPr>
          <w:p w14:paraId="1E8D0DFE" w14:textId="17D7741E" w:rsidR="005E07B3" w:rsidRDefault="005E07B3" w:rsidP="005E07B3">
            <w:pPr>
              <w:pStyle w:val="TAL"/>
              <w:rPr>
                <w:lang w:val="en-GB"/>
              </w:rPr>
            </w:pPr>
            <w:r w:rsidRPr="00127375">
              <w:rPr>
                <w:rFonts w:hint="eastAsia"/>
              </w:rPr>
              <w:t>WB</w:t>
            </w:r>
            <w:r w:rsidRPr="00127375">
              <w:rPr>
                <w:rFonts w:ascii="MS Mincho" w:eastAsia="MS Mincho" w:hAnsi="MS Mincho" w:cs="MS Mincho" w:hint="eastAsia"/>
              </w:rPr>
              <w:t>​</w:t>
            </w:r>
          </w:p>
        </w:tc>
      </w:tr>
      <w:tr w:rsidR="005E07B3" w14:paraId="7B99C5C9" w14:textId="77777777" w:rsidTr="00127375">
        <w:tc>
          <w:tcPr>
            <w:tcW w:w="4814" w:type="dxa"/>
          </w:tcPr>
          <w:p w14:paraId="3982045A" w14:textId="11C8CC22" w:rsidR="005E07B3" w:rsidRDefault="005E07B3" w:rsidP="005E07B3">
            <w:pPr>
              <w:pStyle w:val="TAL"/>
              <w:rPr>
                <w:lang w:val="en-GB"/>
              </w:rPr>
            </w:pPr>
            <w:r>
              <w:rPr>
                <w:lang w:val="en-GB"/>
              </w:rPr>
              <w:t>Propagation channel</w:t>
            </w:r>
          </w:p>
        </w:tc>
        <w:tc>
          <w:tcPr>
            <w:tcW w:w="4815" w:type="dxa"/>
          </w:tcPr>
          <w:p w14:paraId="4BEDC48A" w14:textId="703E0C49" w:rsidR="005E07B3" w:rsidRDefault="005E07B3" w:rsidP="005E07B3">
            <w:pPr>
              <w:pStyle w:val="TAL"/>
              <w:rPr>
                <w:lang w:val="en-GB"/>
              </w:rPr>
            </w:pPr>
            <w:r>
              <w:rPr>
                <w:lang w:val="en-GB"/>
              </w:rPr>
              <w:t>Static</w:t>
            </w:r>
          </w:p>
        </w:tc>
      </w:tr>
    </w:tbl>
    <w:p w14:paraId="122ED444" w14:textId="2992010F" w:rsidR="00127375" w:rsidRDefault="00127375" w:rsidP="005768C6">
      <w:pPr>
        <w:rPr>
          <w:lang w:val="en-GB"/>
        </w:rPr>
      </w:pPr>
    </w:p>
    <w:p w14:paraId="3C9601BA" w14:textId="25F04262" w:rsidR="00B16E6A" w:rsidRDefault="004D5EAF" w:rsidP="005768C6">
      <w:pPr>
        <w:rPr>
          <w:lang w:val="en-GB"/>
        </w:rPr>
      </w:pPr>
      <w:r w:rsidRPr="004D5EAF">
        <w:rPr>
          <w:noProof/>
          <w:lang w:val="en-GB"/>
        </w:rPr>
        <w:drawing>
          <wp:inline distT="0" distB="0" distL="0" distR="0" wp14:anchorId="7564E312" wp14:editId="42FECEC2">
            <wp:extent cx="3045600" cy="228240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5600" cy="2282400"/>
                    </a:xfrm>
                    <a:prstGeom prst="rect">
                      <a:avLst/>
                    </a:prstGeom>
                    <a:noFill/>
                    <a:ln>
                      <a:noFill/>
                    </a:ln>
                  </pic:spPr>
                </pic:pic>
              </a:graphicData>
            </a:graphic>
          </wp:inline>
        </w:drawing>
      </w:r>
      <w:r w:rsidR="00F50D48" w:rsidRPr="00F50D48">
        <w:rPr>
          <w:noProof/>
          <w:lang w:val="en-GB"/>
        </w:rPr>
        <w:drawing>
          <wp:inline distT="0" distB="0" distL="0" distR="0" wp14:anchorId="1A6F1E5B" wp14:editId="6D7FC1A1">
            <wp:extent cx="3060000" cy="229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0000" cy="2293200"/>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C0D13" w14:paraId="25A1B406" w14:textId="77777777" w:rsidTr="003C0D13">
        <w:tc>
          <w:tcPr>
            <w:tcW w:w="4814" w:type="dxa"/>
          </w:tcPr>
          <w:p w14:paraId="3C4E83EA" w14:textId="3C08A423" w:rsidR="003C0D13" w:rsidRDefault="003C0D13" w:rsidP="003C0D13">
            <w:pPr>
              <w:pStyle w:val="TAC"/>
              <w:rPr>
                <w:lang w:val="en-GB"/>
              </w:rPr>
            </w:pPr>
            <w:r>
              <w:rPr>
                <w:lang w:val="en-GB"/>
              </w:rPr>
              <w:t>(a) FDD SCS=15kHz</w:t>
            </w:r>
            <w:r w:rsidR="00EB57B6">
              <w:rPr>
                <w:lang w:val="en-GB"/>
              </w:rPr>
              <w:t>, CBW=20MHz</w:t>
            </w:r>
          </w:p>
        </w:tc>
        <w:tc>
          <w:tcPr>
            <w:tcW w:w="4815" w:type="dxa"/>
          </w:tcPr>
          <w:p w14:paraId="2B27818C" w14:textId="719DB7BF" w:rsidR="003C0D13" w:rsidRDefault="003C0D13" w:rsidP="003C0D13">
            <w:pPr>
              <w:pStyle w:val="TAC"/>
              <w:rPr>
                <w:lang w:val="en-GB"/>
              </w:rPr>
            </w:pPr>
            <w:r>
              <w:rPr>
                <w:lang w:val="en-GB"/>
              </w:rPr>
              <w:t>(b) TDD SCS=30kHz</w:t>
            </w:r>
            <w:r w:rsidR="00EB57B6">
              <w:rPr>
                <w:lang w:val="en-GB"/>
              </w:rPr>
              <w:t>, CBW=40MHz</w:t>
            </w:r>
          </w:p>
        </w:tc>
      </w:tr>
    </w:tbl>
    <w:p w14:paraId="748019A5" w14:textId="4970769A" w:rsidR="003C0D13" w:rsidRDefault="003C0D13" w:rsidP="003C0D13">
      <w:pPr>
        <w:pStyle w:val="Caption"/>
        <w:rPr>
          <w:lang w:val="en-GB"/>
        </w:rPr>
      </w:pPr>
      <w:bookmarkStart w:id="5" w:name="_Ref53497015"/>
      <w:r>
        <w:t xml:space="preserve">Figure </w:t>
      </w:r>
      <w:fldSimple w:instr=" SEQ Figure \* ARABIC ">
        <w:r>
          <w:rPr>
            <w:noProof/>
          </w:rPr>
          <w:t>1</w:t>
        </w:r>
      </w:fldSimple>
      <w:bookmarkEnd w:id="5"/>
      <w:r>
        <w:tab/>
        <w:t>PDSCH simulation results</w:t>
      </w:r>
      <w:r w:rsidR="00F30BB5">
        <w:t>.</w:t>
      </w:r>
    </w:p>
    <w:p w14:paraId="50C8E7B5" w14:textId="399E1FBC" w:rsidR="003C0D13" w:rsidRDefault="00F30BB5" w:rsidP="00F30BB5">
      <w:pPr>
        <w:pStyle w:val="Caption"/>
        <w:rPr>
          <w:lang w:val="en-GB"/>
        </w:rPr>
      </w:pPr>
      <w:bookmarkStart w:id="6" w:name="_Ref54024498"/>
      <w:r>
        <w:t xml:space="preserve">Table </w:t>
      </w:r>
      <w:fldSimple w:instr=" SEQ Table \* ARABIC ">
        <w:r w:rsidR="006D637D">
          <w:rPr>
            <w:noProof/>
          </w:rPr>
          <w:t>2</w:t>
        </w:r>
      </w:fldSimple>
      <w:bookmarkEnd w:id="6"/>
      <w:r>
        <w:tab/>
        <w:t>SNR to achieve 85% of maximum throughput (ideal results).</w:t>
      </w:r>
    </w:p>
    <w:tbl>
      <w:tblPr>
        <w:tblStyle w:val="TableGrid"/>
        <w:tblW w:w="0" w:type="auto"/>
        <w:tblLook w:val="04A0" w:firstRow="1" w:lastRow="0" w:firstColumn="1" w:lastColumn="0" w:noHBand="0" w:noVBand="1"/>
      </w:tblPr>
      <w:tblGrid>
        <w:gridCol w:w="1925"/>
        <w:gridCol w:w="1926"/>
        <w:gridCol w:w="1926"/>
        <w:gridCol w:w="1926"/>
        <w:gridCol w:w="1926"/>
      </w:tblGrid>
      <w:tr w:rsidR="003C0D13" w14:paraId="011DF127" w14:textId="77777777" w:rsidTr="003C0D13">
        <w:tc>
          <w:tcPr>
            <w:tcW w:w="1925" w:type="dxa"/>
          </w:tcPr>
          <w:p w14:paraId="4DD34002" w14:textId="77777777" w:rsidR="003C0D13" w:rsidRDefault="003C0D13" w:rsidP="003C0D13">
            <w:pPr>
              <w:pStyle w:val="TAH"/>
              <w:rPr>
                <w:lang w:val="en-GB"/>
              </w:rPr>
            </w:pPr>
          </w:p>
        </w:tc>
        <w:tc>
          <w:tcPr>
            <w:tcW w:w="1926" w:type="dxa"/>
          </w:tcPr>
          <w:p w14:paraId="3C4B76D3" w14:textId="710B35DA" w:rsidR="003C0D13" w:rsidRDefault="003C0D13" w:rsidP="003C0D13">
            <w:pPr>
              <w:pStyle w:val="TAH"/>
              <w:rPr>
                <w:lang w:val="en-GB"/>
              </w:rPr>
            </w:pPr>
            <w:r>
              <w:rPr>
                <w:lang w:val="en-GB"/>
              </w:rPr>
              <w:t>FDD 15kHz 2Rx</w:t>
            </w:r>
          </w:p>
        </w:tc>
        <w:tc>
          <w:tcPr>
            <w:tcW w:w="1926" w:type="dxa"/>
          </w:tcPr>
          <w:p w14:paraId="361A5E49" w14:textId="1A373F5D" w:rsidR="003C0D13" w:rsidRDefault="003C0D13" w:rsidP="003C0D13">
            <w:pPr>
              <w:pStyle w:val="TAH"/>
              <w:rPr>
                <w:lang w:val="en-GB"/>
              </w:rPr>
            </w:pPr>
            <w:r>
              <w:rPr>
                <w:lang w:val="en-GB"/>
              </w:rPr>
              <w:t>TDD 30kHz 2Rx</w:t>
            </w:r>
          </w:p>
        </w:tc>
        <w:tc>
          <w:tcPr>
            <w:tcW w:w="1926" w:type="dxa"/>
          </w:tcPr>
          <w:p w14:paraId="2C9FE3FF" w14:textId="6254588B" w:rsidR="003C0D13" w:rsidRDefault="003C0D13" w:rsidP="003C0D13">
            <w:pPr>
              <w:pStyle w:val="TAH"/>
              <w:rPr>
                <w:lang w:val="en-GB"/>
              </w:rPr>
            </w:pPr>
            <w:r>
              <w:rPr>
                <w:lang w:val="en-GB"/>
              </w:rPr>
              <w:t>FDD 15kHz 4Rx</w:t>
            </w:r>
          </w:p>
        </w:tc>
        <w:tc>
          <w:tcPr>
            <w:tcW w:w="1926" w:type="dxa"/>
          </w:tcPr>
          <w:p w14:paraId="0CFA8070" w14:textId="19FBA4A8" w:rsidR="003C0D13" w:rsidRDefault="003C0D13" w:rsidP="003C0D13">
            <w:pPr>
              <w:pStyle w:val="TAH"/>
              <w:rPr>
                <w:lang w:val="en-GB"/>
              </w:rPr>
            </w:pPr>
            <w:r>
              <w:rPr>
                <w:lang w:val="en-GB"/>
              </w:rPr>
              <w:t>TDD 30kHz 4Rx</w:t>
            </w:r>
          </w:p>
        </w:tc>
      </w:tr>
      <w:tr w:rsidR="003C0D13" w14:paraId="5BB91AC2" w14:textId="77777777" w:rsidTr="003C0D13">
        <w:tc>
          <w:tcPr>
            <w:tcW w:w="1925" w:type="dxa"/>
          </w:tcPr>
          <w:p w14:paraId="74B91BF0" w14:textId="35E67664" w:rsidR="003C0D13" w:rsidRDefault="003C0D13" w:rsidP="00156C5D">
            <w:pPr>
              <w:pStyle w:val="TAC"/>
              <w:rPr>
                <w:lang w:val="en-GB"/>
              </w:rPr>
            </w:pPr>
            <w:r>
              <w:rPr>
                <w:lang w:val="en-GB"/>
              </w:rPr>
              <w:t>MCS 25</w:t>
            </w:r>
          </w:p>
        </w:tc>
        <w:tc>
          <w:tcPr>
            <w:tcW w:w="1926" w:type="dxa"/>
          </w:tcPr>
          <w:p w14:paraId="7C71BDEC" w14:textId="23EEA389" w:rsidR="003C0D13" w:rsidRPr="00156C5D" w:rsidRDefault="00156C5D" w:rsidP="00156C5D">
            <w:pPr>
              <w:pStyle w:val="TAC"/>
              <w:rPr>
                <w:lang w:val="en-GB"/>
              </w:rPr>
            </w:pPr>
            <w:r w:rsidRPr="00156C5D">
              <w:rPr>
                <w:lang w:val="en-GB"/>
              </w:rPr>
              <w:t>14.4</w:t>
            </w:r>
          </w:p>
        </w:tc>
        <w:tc>
          <w:tcPr>
            <w:tcW w:w="1926" w:type="dxa"/>
          </w:tcPr>
          <w:p w14:paraId="328FF627" w14:textId="4EEA6893" w:rsidR="003C0D13" w:rsidRPr="00156C5D" w:rsidRDefault="00156C5D" w:rsidP="00156C5D">
            <w:pPr>
              <w:pStyle w:val="TAC"/>
              <w:rPr>
                <w:lang w:val="en-GB"/>
              </w:rPr>
            </w:pPr>
            <w:r w:rsidRPr="00156C5D">
              <w:rPr>
                <w:lang w:val="en-GB"/>
              </w:rPr>
              <w:t>14.6</w:t>
            </w:r>
          </w:p>
        </w:tc>
        <w:tc>
          <w:tcPr>
            <w:tcW w:w="1926" w:type="dxa"/>
          </w:tcPr>
          <w:p w14:paraId="57E313E7" w14:textId="512FE5AA" w:rsidR="003C0D13" w:rsidRPr="00156C5D" w:rsidRDefault="00156C5D" w:rsidP="00156C5D">
            <w:pPr>
              <w:pStyle w:val="TAC"/>
              <w:rPr>
                <w:lang w:val="en-GB"/>
              </w:rPr>
            </w:pPr>
            <w:r w:rsidRPr="00156C5D">
              <w:rPr>
                <w:lang w:val="en-GB"/>
              </w:rPr>
              <w:t>11.2</w:t>
            </w:r>
          </w:p>
        </w:tc>
        <w:tc>
          <w:tcPr>
            <w:tcW w:w="1926" w:type="dxa"/>
          </w:tcPr>
          <w:p w14:paraId="3D7F67AD" w14:textId="79BE98FB" w:rsidR="003C0D13" w:rsidRPr="00156C5D" w:rsidRDefault="00156C5D" w:rsidP="00156C5D">
            <w:pPr>
              <w:pStyle w:val="TAC"/>
              <w:rPr>
                <w:lang w:val="en-GB"/>
              </w:rPr>
            </w:pPr>
            <w:r w:rsidRPr="00156C5D">
              <w:rPr>
                <w:lang w:val="en-GB"/>
              </w:rPr>
              <w:t>11.8</w:t>
            </w:r>
          </w:p>
        </w:tc>
      </w:tr>
      <w:tr w:rsidR="003C0D13" w14:paraId="0AEA332C" w14:textId="77777777" w:rsidTr="003C0D13">
        <w:tc>
          <w:tcPr>
            <w:tcW w:w="1925" w:type="dxa"/>
          </w:tcPr>
          <w:p w14:paraId="6744662E" w14:textId="038703E8" w:rsidR="003C0D13" w:rsidRDefault="003C0D13" w:rsidP="00156C5D">
            <w:pPr>
              <w:pStyle w:val="TAC"/>
              <w:rPr>
                <w:lang w:val="en-GB"/>
              </w:rPr>
            </w:pPr>
            <w:r>
              <w:rPr>
                <w:lang w:val="en-GB"/>
              </w:rPr>
              <w:t>MCS 27</w:t>
            </w:r>
          </w:p>
        </w:tc>
        <w:tc>
          <w:tcPr>
            <w:tcW w:w="1926" w:type="dxa"/>
          </w:tcPr>
          <w:p w14:paraId="4610ED85" w14:textId="49ECB5BE" w:rsidR="003C0D13" w:rsidRPr="00156C5D" w:rsidRDefault="00156C5D" w:rsidP="00156C5D">
            <w:pPr>
              <w:pStyle w:val="TAC"/>
              <w:rPr>
                <w:lang w:val="en-GB"/>
              </w:rPr>
            </w:pPr>
            <w:r w:rsidRPr="00156C5D">
              <w:rPr>
                <w:lang w:val="en-GB"/>
              </w:rPr>
              <w:t>16.9</w:t>
            </w:r>
          </w:p>
        </w:tc>
        <w:tc>
          <w:tcPr>
            <w:tcW w:w="1926" w:type="dxa"/>
          </w:tcPr>
          <w:p w14:paraId="1274D5FF" w14:textId="134493FE" w:rsidR="003C0D13" w:rsidRPr="00156C5D" w:rsidRDefault="00156C5D" w:rsidP="00156C5D">
            <w:pPr>
              <w:pStyle w:val="TAC"/>
              <w:rPr>
                <w:lang w:val="en-GB"/>
              </w:rPr>
            </w:pPr>
            <w:r w:rsidRPr="00156C5D">
              <w:rPr>
                <w:lang w:val="en-GB"/>
              </w:rPr>
              <w:t>16.1</w:t>
            </w:r>
          </w:p>
        </w:tc>
        <w:tc>
          <w:tcPr>
            <w:tcW w:w="1926" w:type="dxa"/>
          </w:tcPr>
          <w:p w14:paraId="27424079" w14:textId="776F4FEA" w:rsidR="003C0D13" w:rsidRPr="00156C5D" w:rsidRDefault="00156C5D" w:rsidP="00156C5D">
            <w:pPr>
              <w:pStyle w:val="TAC"/>
              <w:rPr>
                <w:lang w:val="en-GB"/>
              </w:rPr>
            </w:pPr>
            <w:r w:rsidRPr="00156C5D">
              <w:rPr>
                <w:lang w:val="en-GB"/>
              </w:rPr>
              <w:t>13.9</w:t>
            </w:r>
          </w:p>
        </w:tc>
        <w:tc>
          <w:tcPr>
            <w:tcW w:w="1926" w:type="dxa"/>
          </w:tcPr>
          <w:p w14:paraId="33B03B93" w14:textId="3C0C964D" w:rsidR="003C0D13" w:rsidRPr="00156C5D" w:rsidRDefault="00156C5D" w:rsidP="00156C5D">
            <w:pPr>
              <w:pStyle w:val="TAC"/>
              <w:rPr>
                <w:lang w:val="en-GB"/>
              </w:rPr>
            </w:pPr>
            <w:r w:rsidRPr="00156C5D">
              <w:rPr>
                <w:lang w:val="en-GB"/>
              </w:rPr>
              <w:t>12.9</w:t>
            </w:r>
          </w:p>
        </w:tc>
      </w:tr>
    </w:tbl>
    <w:p w14:paraId="4396AE53" w14:textId="77777777" w:rsidR="003C0D13" w:rsidRPr="006E2E3E" w:rsidRDefault="003C0D13" w:rsidP="005768C6">
      <w:pPr>
        <w:rPr>
          <w:lang w:val="en-GB"/>
        </w:rPr>
      </w:pPr>
    </w:p>
    <w:p w14:paraId="366B500C" w14:textId="5389434C" w:rsidR="005768C6" w:rsidRDefault="00E561E7" w:rsidP="005768C6">
      <w:pPr>
        <w:rPr>
          <w:lang w:val="en-GB"/>
        </w:rPr>
      </w:pPr>
      <w:r>
        <w:rPr>
          <w:lang w:val="en-GB"/>
        </w:rPr>
        <w:t xml:space="preserve">It is observed from the simulation results that </w:t>
      </w:r>
      <w:r w:rsidR="000D2CA5">
        <w:rPr>
          <w:lang w:val="en-GB"/>
        </w:rPr>
        <w:t xml:space="preserve">the required SNR </w:t>
      </w:r>
      <w:r w:rsidR="002E1878">
        <w:rPr>
          <w:lang w:val="en-GB"/>
        </w:rPr>
        <w:t xml:space="preserve">(ideal case) </w:t>
      </w:r>
      <w:r w:rsidR="000D2CA5">
        <w:rPr>
          <w:lang w:val="en-GB"/>
        </w:rPr>
        <w:t xml:space="preserve">to achieve 85% of </w:t>
      </w:r>
      <w:r w:rsidR="008A5FC0">
        <w:rPr>
          <w:lang w:val="en-GB"/>
        </w:rPr>
        <w:t xml:space="preserve">the </w:t>
      </w:r>
      <w:r w:rsidR="000D2CA5">
        <w:rPr>
          <w:lang w:val="en-GB"/>
        </w:rPr>
        <w:t>maximum throughput is about:</w:t>
      </w:r>
    </w:p>
    <w:p w14:paraId="3702B6BB" w14:textId="7EFBC867" w:rsidR="000D2CA5" w:rsidRDefault="000D2CA5" w:rsidP="000D2CA5">
      <w:pPr>
        <w:pStyle w:val="ListParagraph"/>
        <w:numPr>
          <w:ilvl w:val="0"/>
          <w:numId w:val="22"/>
        </w:numPr>
        <w:rPr>
          <w:lang w:val="en-GB"/>
        </w:rPr>
      </w:pPr>
      <w:r>
        <w:rPr>
          <w:lang w:val="en-GB"/>
        </w:rPr>
        <w:t>2Rx: 15dB for MCS25 and 17dB for MCS27</w:t>
      </w:r>
    </w:p>
    <w:p w14:paraId="1C4412AE" w14:textId="0589BE01" w:rsidR="000D2CA5" w:rsidRPr="000D2CA5" w:rsidRDefault="000D2CA5" w:rsidP="000D2CA5">
      <w:pPr>
        <w:pStyle w:val="ListParagraph"/>
        <w:numPr>
          <w:ilvl w:val="0"/>
          <w:numId w:val="22"/>
        </w:numPr>
        <w:rPr>
          <w:lang w:val="en-GB"/>
        </w:rPr>
      </w:pPr>
      <w:r>
        <w:rPr>
          <w:lang w:val="en-GB"/>
        </w:rPr>
        <w:t>4Rx: 12dB for MCS25 and 14dB for MCS27</w:t>
      </w:r>
    </w:p>
    <w:p w14:paraId="447F5D82" w14:textId="43B8FA88" w:rsidR="00B16E6A" w:rsidRDefault="005900A1" w:rsidP="005768C6">
      <w:pPr>
        <w:rPr>
          <w:lang w:val="en-GB"/>
        </w:rPr>
      </w:pPr>
      <w:r>
        <w:rPr>
          <w:lang w:val="en-GB"/>
        </w:rPr>
        <w:t xml:space="preserve">Considering the impairment margin, </w:t>
      </w:r>
      <w:r w:rsidR="00902CAF">
        <w:rPr>
          <w:lang w:val="en-GB"/>
        </w:rPr>
        <w:t xml:space="preserve">the required SNR levels for 2Rx is around 19dB, and we think </w:t>
      </w:r>
      <w:r w:rsidR="000901BB">
        <w:rPr>
          <w:lang w:val="en-GB"/>
        </w:rPr>
        <w:t xml:space="preserve">MCS27 is feasible to configure for intra-band contiguous CA with power imbalance. </w:t>
      </w:r>
    </w:p>
    <w:p w14:paraId="3F0DD4F9" w14:textId="46859E09" w:rsidR="00BB176A" w:rsidRPr="00BB176A" w:rsidRDefault="00BB176A" w:rsidP="00BB176A">
      <w:pPr>
        <w:rPr>
          <w:b/>
          <w:bCs/>
          <w:lang w:val="en-GB"/>
        </w:rPr>
      </w:pPr>
      <w:r w:rsidRPr="00BB176A">
        <w:rPr>
          <w:b/>
          <w:bCs/>
          <w:lang w:val="en-GB"/>
        </w:rPr>
        <w:t xml:space="preserve">Proposal </w:t>
      </w:r>
      <w:r w:rsidR="0071388E">
        <w:rPr>
          <w:b/>
          <w:bCs/>
          <w:lang w:val="en-GB"/>
        </w:rPr>
        <w:t>1</w:t>
      </w:r>
      <w:r w:rsidRPr="00BB176A">
        <w:rPr>
          <w:b/>
          <w:bCs/>
          <w:lang w:val="en-GB"/>
        </w:rPr>
        <w:t xml:space="preserve">: </w:t>
      </w:r>
      <w:r w:rsidR="004A1D25">
        <w:rPr>
          <w:b/>
          <w:bCs/>
          <w:lang w:val="en-GB"/>
        </w:rPr>
        <w:t>Configure</w:t>
      </w:r>
      <w:r w:rsidRPr="00BB176A">
        <w:rPr>
          <w:b/>
          <w:bCs/>
          <w:lang w:val="en-GB"/>
        </w:rPr>
        <w:t xml:space="preserve"> MCS 27 for 2Rx and MCS 28 for 4Rx</w:t>
      </w:r>
      <w:r w:rsidR="0033770A">
        <w:rPr>
          <w:b/>
          <w:bCs/>
          <w:lang w:val="en-GB"/>
        </w:rPr>
        <w:t xml:space="preserve"> for intra-band contiguous CA test with power imbalance.</w:t>
      </w:r>
    </w:p>
    <w:p w14:paraId="62ADBEBD" w14:textId="511373C1" w:rsidR="009947C6" w:rsidRPr="009947C6" w:rsidRDefault="009947C6" w:rsidP="005768C6">
      <w:pPr>
        <w:pStyle w:val="Heading3"/>
      </w:pPr>
      <w:r>
        <w:lastRenderedPageBreak/>
        <w:t>2.1.2</w:t>
      </w:r>
      <w:r>
        <w:tab/>
        <w:t>Applicability rule</w:t>
      </w:r>
    </w:p>
    <w:tbl>
      <w:tblPr>
        <w:tblStyle w:val="TableGrid"/>
        <w:tblW w:w="0" w:type="auto"/>
        <w:tblLook w:val="04A0" w:firstRow="1" w:lastRow="0" w:firstColumn="1" w:lastColumn="0" w:noHBand="0" w:noVBand="1"/>
      </w:tblPr>
      <w:tblGrid>
        <w:gridCol w:w="9629"/>
      </w:tblGrid>
      <w:tr w:rsidR="00E770F2" w14:paraId="3AAE1DE1" w14:textId="77777777" w:rsidTr="00E770F2">
        <w:tc>
          <w:tcPr>
            <w:tcW w:w="9629" w:type="dxa"/>
          </w:tcPr>
          <w:p w14:paraId="21A9423D" w14:textId="77777777" w:rsidR="005768C6" w:rsidRDefault="00C74266" w:rsidP="009947C6">
            <w:pPr>
              <w:pStyle w:val="TAL"/>
            </w:pPr>
            <w:r>
              <w:t>Applicability rule​</w:t>
            </w:r>
          </w:p>
          <w:p w14:paraId="12C3185D" w14:textId="75538F31" w:rsidR="00C74266" w:rsidRDefault="00C74266" w:rsidP="005768C6">
            <w:pPr>
              <w:pStyle w:val="TAL"/>
              <w:numPr>
                <w:ilvl w:val="0"/>
                <w:numId w:val="23"/>
              </w:numPr>
            </w:pPr>
            <w:r>
              <w:t>Option 1: Reuse the following applicability rule from LTE CA power imbalance test​</w:t>
            </w:r>
          </w:p>
          <w:p w14:paraId="130CF454" w14:textId="77777777" w:rsidR="00C74266" w:rsidRDefault="00C74266" w:rsidP="005768C6">
            <w:pPr>
              <w:pStyle w:val="TAL"/>
              <w:numPr>
                <w:ilvl w:val="1"/>
                <w:numId w:val="23"/>
              </w:numPr>
            </w:pPr>
            <w:r>
              <w:t>For FDD or TDD CA power imbalance tests, if they are tested with FDD or TDD intra-band contiguous CA configurations with 2 DL CCs, the test coverage can be considered fulfilled with FDD or TDD intra-band contiguous CA configurations with 3 or more DL CCs supported by the UE.​</w:t>
            </w:r>
          </w:p>
          <w:p w14:paraId="43EFCD4F" w14:textId="77777777" w:rsidR="00C74266" w:rsidRDefault="00C74266" w:rsidP="005768C6">
            <w:pPr>
              <w:pStyle w:val="TAL"/>
              <w:numPr>
                <w:ilvl w:val="1"/>
                <w:numId w:val="23"/>
              </w:numPr>
            </w:pPr>
            <w:r>
              <w:t>For FDD or TDD 2 DL CCs, only test the supported intra-band contiguous CA configurations covering the lowest and highest operating bands.​</w:t>
            </w:r>
          </w:p>
          <w:p w14:paraId="7CA7567E" w14:textId="733ED4C4" w:rsidR="00C74266" w:rsidRPr="00C74266" w:rsidRDefault="00C74266" w:rsidP="005768C6">
            <w:pPr>
              <w:pStyle w:val="TAL"/>
              <w:numPr>
                <w:ilvl w:val="0"/>
                <w:numId w:val="23"/>
              </w:numPr>
            </w:pPr>
            <w:r>
              <w:t>Other options are not precluded.​</w:t>
            </w:r>
          </w:p>
        </w:tc>
      </w:tr>
    </w:tbl>
    <w:p w14:paraId="2EAC071E" w14:textId="77777777" w:rsidR="006E2E3E" w:rsidRPr="006E2E3E" w:rsidRDefault="006E2E3E" w:rsidP="006E2E3E">
      <w:pPr>
        <w:rPr>
          <w:lang w:val="en-GB"/>
        </w:rPr>
      </w:pPr>
    </w:p>
    <w:p w14:paraId="2BC0C4CD" w14:textId="6C9DE55D" w:rsidR="004808EE" w:rsidRDefault="004808EE" w:rsidP="005A7AA0">
      <w:pPr>
        <w:rPr>
          <w:lang w:val="en-GB"/>
        </w:rPr>
      </w:pPr>
      <w:r>
        <w:rPr>
          <w:lang w:val="en-GB"/>
        </w:rPr>
        <w:t xml:space="preserve">LTE intra-band contiguous CA with power imbalanced test uses the following applicability rule: </w:t>
      </w:r>
    </w:p>
    <w:tbl>
      <w:tblPr>
        <w:tblStyle w:val="TableGrid"/>
        <w:tblW w:w="0" w:type="auto"/>
        <w:tblLook w:val="04A0" w:firstRow="1" w:lastRow="0" w:firstColumn="1" w:lastColumn="0" w:noHBand="0" w:noVBand="1"/>
      </w:tblPr>
      <w:tblGrid>
        <w:gridCol w:w="9629"/>
      </w:tblGrid>
      <w:tr w:rsidR="009E1197" w14:paraId="59DE321C" w14:textId="77777777" w:rsidTr="009E1197">
        <w:tc>
          <w:tcPr>
            <w:tcW w:w="9629" w:type="dxa"/>
          </w:tcPr>
          <w:p w14:paraId="494D5A31" w14:textId="631BA1BA" w:rsidR="00FF63B4" w:rsidRPr="00FF63B4" w:rsidRDefault="00FF63B4" w:rsidP="009E1197">
            <w:pPr>
              <w:rPr>
                <w:u w:val="single"/>
                <w:lang w:val="en-GB"/>
              </w:rPr>
            </w:pPr>
            <w:r w:rsidRPr="00FF63B4">
              <w:rPr>
                <w:u w:val="single"/>
                <w:lang w:val="en-GB"/>
              </w:rPr>
              <w:t>TS 36.101 8.1.2.3</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AB58B3" w:rsidRPr="00353B15" w14:paraId="6C30B1D6" w14:textId="77777777" w:rsidTr="00DE4B4A">
              <w:trPr>
                <w:jc w:val="center"/>
              </w:trPr>
              <w:tc>
                <w:tcPr>
                  <w:tcW w:w="1644" w:type="dxa"/>
                  <w:shd w:val="clear" w:color="auto" w:fill="auto"/>
                  <w:vAlign w:val="center"/>
                </w:tcPr>
                <w:p w14:paraId="6611AD80" w14:textId="77777777" w:rsidR="00AB58B3" w:rsidRPr="00353B15" w:rsidRDefault="00AB58B3" w:rsidP="00AB58B3">
                  <w:pPr>
                    <w:pStyle w:val="TAH"/>
                    <w:rPr>
                      <w:rFonts w:cs="Arial"/>
                      <w:lang w:eastAsia="en-US"/>
                    </w:rPr>
                  </w:pPr>
                  <w:r w:rsidRPr="00353B15">
                    <w:rPr>
                      <w:rFonts w:cs="Arial"/>
                      <w:lang w:eastAsia="en-US"/>
                    </w:rPr>
                    <w:t>Tests</w:t>
                  </w:r>
                </w:p>
              </w:tc>
              <w:tc>
                <w:tcPr>
                  <w:tcW w:w="1519" w:type="dxa"/>
                  <w:vAlign w:val="center"/>
                </w:tcPr>
                <w:p w14:paraId="4F39EFF3" w14:textId="77777777" w:rsidR="00AB58B3" w:rsidRPr="00353B15" w:rsidRDefault="00AB58B3" w:rsidP="00AB58B3">
                  <w:pPr>
                    <w:pStyle w:val="TAH"/>
                    <w:rPr>
                      <w:rFonts w:cs="Arial"/>
                      <w:lang w:eastAsia="zh-CN"/>
                    </w:rPr>
                  </w:pPr>
                  <w:r w:rsidRPr="00353B15">
                    <w:rPr>
                      <w:rFonts w:cs="Arial"/>
                      <w:lang w:eastAsia="en-US"/>
                    </w:rPr>
                    <w:t xml:space="preserve">CA capability where the tests </w:t>
                  </w:r>
                  <w:r w:rsidRPr="00353B15">
                    <w:rPr>
                      <w:rFonts w:cs="Arial" w:hint="eastAsia"/>
                      <w:lang w:eastAsia="zh-CN"/>
                    </w:rPr>
                    <w:t>apply</w:t>
                  </w:r>
                </w:p>
              </w:tc>
              <w:tc>
                <w:tcPr>
                  <w:tcW w:w="2410" w:type="dxa"/>
                  <w:shd w:val="clear" w:color="auto" w:fill="auto"/>
                  <w:vAlign w:val="center"/>
                </w:tcPr>
                <w:p w14:paraId="7CB71F0E" w14:textId="77777777" w:rsidR="00AB58B3" w:rsidRPr="00353B15" w:rsidRDefault="00AB58B3" w:rsidP="00AB58B3">
                  <w:pPr>
                    <w:pStyle w:val="TAH"/>
                    <w:rPr>
                      <w:rFonts w:cs="Arial"/>
                      <w:lang w:eastAsia="zh-CN"/>
                    </w:rPr>
                  </w:pPr>
                  <w:r w:rsidRPr="00353B15">
                    <w:rPr>
                      <w:rFonts w:cs="Arial"/>
                      <w:lang w:eastAsia="en-US"/>
                    </w:rPr>
                    <w:t>CA configuration</w:t>
                  </w:r>
                  <w:r w:rsidRPr="00353B15">
                    <w:rPr>
                      <w:rFonts w:cs="Arial" w:hint="eastAsia"/>
                      <w:lang w:eastAsia="zh-CN"/>
                    </w:rPr>
                    <w:t xml:space="preserve"> from the selected CA capbility</w:t>
                  </w:r>
                  <w:r w:rsidRPr="00353B15">
                    <w:rPr>
                      <w:rFonts w:cs="Arial"/>
                      <w:lang w:eastAsia="en-US"/>
                    </w:rPr>
                    <w:t xml:space="preserve"> where the tests </w:t>
                  </w:r>
                  <w:r w:rsidRPr="00353B15">
                    <w:rPr>
                      <w:rFonts w:cs="Arial" w:hint="eastAsia"/>
                      <w:lang w:eastAsia="zh-CN"/>
                    </w:rPr>
                    <w:t>apply</w:t>
                  </w:r>
                </w:p>
              </w:tc>
              <w:tc>
                <w:tcPr>
                  <w:tcW w:w="2201" w:type="dxa"/>
                  <w:shd w:val="clear" w:color="auto" w:fill="auto"/>
                  <w:vAlign w:val="center"/>
                </w:tcPr>
                <w:p w14:paraId="182F5DDD" w14:textId="77777777" w:rsidR="00AB58B3" w:rsidRPr="00353B15" w:rsidRDefault="00AB58B3" w:rsidP="00AB58B3">
                  <w:pPr>
                    <w:pStyle w:val="TAH"/>
                    <w:rPr>
                      <w:rFonts w:cs="Arial"/>
                      <w:lang w:eastAsia="zh-CN"/>
                    </w:rPr>
                  </w:pPr>
                  <w:r w:rsidRPr="00353B15">
                    <w:rPr>
                      <w:rFonts w:cs="Arial"/>
                      <w:lang w:eastAsia="zh-CN"/>
                    </w:rPr>
                    <w:t xml:space="preserve">CA </w:t>
                  </w:r>
                  <w:r w:rsidRPr="00353B15">
                    <w:rPr>
                      <w:rFonts w:cs="Arial" w:hint="eastAsia"/>
                      <w:lang w:eastAsia="zh-CN"/>
                    </w:rPr>
                    <w:t>B</w:t>
                  </w:r>
                  <w:r w:rsidRPr="00353B15">
                    <w:rPr>
                      <w:rFonts w:cs="Arial"/>
                      <w:lang w:eastAsia="en-US"/>
                    </w:rPr>
                    <w:t xml:space="preserve">andwidth combination to be tested in </w:t>
                  </w:r>
                  <w:r w:rsidRPr="00353B15">
                    <w:rPr>
                      <w:rFonts w:cs="Arial" w:hint="eastAsia"/>
                      <w:lang w:eastAsia="zh-CN"/>
                    </w:rPr>
                    <w:t xml:space="preserve">priority </w:t>
                  </w:r>
                  <w:r w:rsidRPr="00353B15">
                    <w:rPr>
                      <w:rFonts w:cs="Arial"/>
                      <w:lang w:eastAsia="en-US"/>
                    </w:rPr>
                    <w:t>order</w:t>
                  </w:r>
                </w:p>
              </w:tc>
            </w:tr>
            <w:tr w:rsidR="00AB58B3" w:rsidRPr="00353B15" w14:paraId="065CFB81" w14:textId="77777777" w:rsidTr="00DE4B4A">
              <w:trPr>
                <w:jc w:val="center"/>
              </w:trPr>
              <w:tc>
                <w:tcPr>
                  <w:tcW w:w="1644" w:type="dxa"/>
                  <w:shd w:val="clear" w:color="auto" w:fill="auto"/>
                  <w:vAlign w:val="center"/>
                </w:tcPr>
                <w:p w14:paraId="324999B4" w14:textId="77777777" w:rsidR="00AB58B3" w:rsidRPr="00353B15" w:rsidRDefault="00AB58B3" w:rsidP="00AB58B3">
                  <w:pPr>
                    <w:pStyle w:val="TAC"/>
                    <w:rPr>
                      <w:rFonts w:cs="Arial"/>
                      <w:lang w:eastAsia="zh-CN"/>
                    </w:rPr>
                  </w:pPr>
                  <w:r w:rsidRPr="00353B15">
                    <w:rPr>
                      <w:rFonts w:cs="Arial" w:hint="eastAsia"/>
                      <w:lang w:eastAsia="zh-CN"/>
                    </w:rPr>
                    <w:t>CA tests with 2CCs in Clause 8.2.1.7.1</w:t>
                  </w:r>
                </w:p>
              </w:tc>
              <w:tc>
                <w:tcPr>
                  <w:tcW w:w="1519" w:type="dxa"/>
                  <w:vAlign w:val="center"/>
                </w:tcPr>
                <w:p w14:paraId="4C9A5BF1" w14:textId="77777777" w:rsidR="00AB58B3" w:rsidRPr="00353B15" w:rsidRDefault="00AB58B3" w:rsidP="00AB58B3">
                  <w:pPr>
                    <w:pStyle w:val="TAC"/>
                    <w:rPr>
                      <w:rFonts w:cs="Arial"/>
                      <w:lang w:eastAsia="en-US"/>
                    </w:rPr>
                  </w:pPr>
                  <w:r w:rsidRPr="00353B15">
                    <w:rPr>
                      <w:rFonts w:cs="Arial"/>
                      <w:lang w:eastAsia="en-US"/>
                    </w:rPr>
                    <w:t>C</w:t>
                  </w:r>
                  <w:r w:rsidRPr="00353B15">
                    <w:rPr>
                      <w:rFonts w:cs="Arial" w:hint="eastAsia"/>
                      <w:lang w:eastAsia="zh-CN"/>
                    </w:rPr>
                    <w:t>A</w:t>
                  </w:r>
                  <w:r w:rsidRPr="00353B15">
                    <w:rPr>
                      <w:rFonts w:cs="Arial"/>
                      <w:lang w:eastAsia="en-US"/>
                    </w:rPr>
                    <w:t>_C</w:t>
                  </w:r>
                </w:p>
              </w:tc>
              <w:tc>
                <w:tcPr>
                  <w:tcW w:w="2410" w:type="dxa"/>
                  <w:shd w:val="clear" w:color="auto" w:fill="auto"/>
                  <w:vAlign w:val="center"/>
                </w:tcPr>
                <w:p w14:paraId="58C60650" w14:textId="77777777" w:rsidR="00AB58B3" w:rsidRPr="00353B15" w:rsidRDefault="00AB58B3" w:rsidP="00AB58B3">
                  <w:pPr>
                    <w:pStyle w:val="TAC"/>
                    <w:rPr>
                      <w:rFonts w:cs="Arial"/>
                      <w:lang w:eastAsia="en-US"/>
                    </w:rPr>
                  </w:pPr>
                  <w:r w:rsidRPr="00353B15">
                    <w:rPr>
                      <w:rFonts w:cs="Arial"/>
                      <w:lang w:eastAsia="en-US"/>
                    </w:rPr>
                    <w:t>Supported FDD intra-band contiguous CA configurations covering the lowest and highest operating bands</w:t>
                  </w:r>
                </w:p>
              </w:tc>
              <w:tc>
                <w:tcPr>
                  <w:tcW w:w="2201" w:type="dxa"/>
                  <w:shd w:val="clear" w:color="auto" w:fill="auto"/>
                  <w:vAlign w:val="center"/>
                </w:tcPr>
                <w:p w14:paraId="3FED1C21" w14:textId="77777777" w:rsidR="00AB58B3" w:rsidRPr="00353B15" w:rsidRDefault="00AB58B3" w:rsidP="00AB58B3">
                  <w:pPr>
                    <w:pStyle w:val="TAC"/>
                    <w:rPr>
                      <w:rFonts w:cs="Arial"/>
                      <w:lang w:eastAsia="en-US"/>
                    </w:rPr>
                  </w:pPr>
                  <w:r w:rsidRPr="00353B15">
                    <w:rPr>
                      <w:rFonts w:cs="Arial"/>
                      <w:lang w:eastAsia="en-US"/>
                    </w:rPr>
                    <w:t>Largest aggregated CA bandwidth combinations</w:t>
                  </w:r>
                </w:p>
              </w:tc>
            </w:tr>
            <w:tr w:rsidR="00AA53DD" w:rsidRPr="00353B15" w14:paraId="28BE93F0" w14:textId="77777777" w:rsidTr="00DE4B4A">
              <w:trPr>
                <w:jc w:val="center"/>
              </w:trPr>
              <w:tc>
                <w:tcPr>
                  <w:tcW w:w="1644" w:type="dxa"/>
                  <w:shd w:val="clear" w:color="auto" w:fill="auto"/>
                  <w:vAlign w:val="center"/>
                </w:tcPr>
                <w:p w14:paraId="526576A2" w14:textId="77777777" w:rsidR="00AA53DD" w:rsidRPr="00AA53DD" w:rsidRDefault="00AA53DD" w:rsidP="00AA53DD">
                  <w:pPr>
                    <w:pStyle w:val="TAC"/>
                    <w:rPr>
                      <w:rFonts w:cs="Arial"/>
                      <w:lang w:eastAsia="zh-CN"/>
                    </w:rPr>
                  </w:pPr>
                  <w:r w:rsidRPr="00AA53DD">
                    <w:rPr>
                      <w:rFonts w:cs="Arial"/>
                      <w:lang w:eastAsia="zh-CN"/>
                    </w:rPr>
                    <w:t>CA tests with</w:t>
                  </w:r>
                </w:p>
                <w:p w14:paraId="7E751376" w14:textId="198517CB" w:rsidR="00AA53DD" w:rsidRPr="00353B15" w:rsidRDefault="00AA53DD" w:rsidP="00AA53DD">
                  <w:pPr>
                    <w:pStyle w:val="TAC"/>
                    <w:rPr>
                      <w:rFonts w:cs="Arial"/>
                      <w:lang w:eastAsia="zh-CN"/>
                    </w:rPr>
                  </w:pPr>
                  <w:r w:rsidRPr="00AA53DD">
                    <w:rPr>
                      <w:rFonts w:cs="Arial"/>
                      <w:lang w:eastAsia="zh-CN"/>
                    </w:rPr>
                    <w:t>2CCs in 8.2.2.7.1</w:t>
                  </w:r>
                </w:p>
              </w:tc>
              <w:tc>
                <w:tcPr>
                  <w:tcW w:w="1519" w:type="dxa"/>
                  <w:vAlign w:val="center"/>
                </w:tcPr>
                <w:p w14:paraId="6C789C10" w14:textId="458070FC" w:rsidR="00AA53DD" w:rsidRPr="00353B15" w:rsidRDefault="00AA53DD" w:rsidP="00AB58B3">
                  <w:pPr>
                    <w:pStyle w:val="TAC"/>
                    <w:rPr>
                      <w:rFonts w:cs="Arial"/>
                      <w:lang w:eastAsia="en-US"/>
                    </w:rPr>
                  </w:pPr>
                  <w:r w:rsidRPr="00AA53DD">
                    <w:rPr>
                      <w:rFonts w:cs="Arial"/>
                      <w:lang w:eastAsia="en-US"/>
                    </w:rPr>
                    <w:t>CA_C</w:t>
                  </w:r>
                </w:p>
              </w:tc>
              <w:tc>
                <w:tcPr>
                  <w:tcW w:w="2410" w:type="dxa"/>
                  <w:shd w:val="clear" w:color="auto" w:fill="auto"/>
                  <w:vAlign w:val="center"/>
                </w:tcPr>
                <w:p w14:paraId="28286524" w14:textId="77777777" w:rsidR="00AA53DD" w:rsidRPr="00AA53DD" w:rsidRDefault="00AA53DD" w:rsidP="00AA53DD">
                  <w:pPr>
                    <w:pStyle w:val="TAC"/>
                    <w:rPr>
                      <w:rFonts w:cs="Arial"/>
                      <w:lang w:eastAsia="en-US"/>
                    </w:rPr>
                  </w:pPr>
                  <w:r w:rsidRPr="00AA53DD">
                    <w:rPr>
                      <w:rFonts w:cs="Arial"/>
                      <w:lang w:eastAsia="en-US"/>
                    </w:rPr>
                    <w:t>Supported TDD intra-band</w:t>
                  </w:r>
                </w:p>
                <w:p w14:paraId="30BCD95D" w14:textId="77777777" w:rsidR="00AA53DD" w:rsidRPr="00AA53DD" w:rsidRDefault="00AA53DD" w:rsidP="00AA53DD">
                  <w:pPr>
                    <w:pStyle w:val="TAC"/>
                    <w:rPr>
                      <w:rFonts w:cs="Arial"/>
                      <w:lang w:eastAsia="en-US"/>
                    </w:rPr>
                  </w:pPr>
                  <w:r w:rsidRPr="00AA53DD">
                    <w:rPr>
                      <w:rFonts w:cs="Arial"/>
                      <w:lang w:eastAsia="en-US"/>
                    </w:rPr>
                    <w:t>contiguous CA</w:t>
                  </w:r>
                </w:p>
                <w:p w14:paraId="57EBA2F8" w14:textId="77777777" w:rsidR="00AA53DD" w:rsidRPr="00AA53DD" w:rsidRDefault="00AA53DD" w:rsidP="00AA53DD">
                  <w:pPr>
                    <w:pStyle w:val="TAC"/>
                    <w:rPr>
                      <w:rFonts w:cs="Arial"/>
                      <w:lang w:eastAsia="en-US"/>
                    </w:rPr>
                  </w:pPr>
                  <w:r w:rsidRPr="00AA53DD">
                    <w:rPr>
                      <w:rFonts w:cs="Arial"/>
                      <w:lang w:eastAsia="en-US"/>
                    </w:rPr>
                    <w:t>configurations</w:t>
                  </w:r>
                </w:p>
                <w:p w14:paraId="05D7EA4D" w14:textId="77777777" w:rsidR="00AA53DD" w:rsidRPr="00AA53DD" w:rsidRDefault="00AA53DD" w:rsidP="00AA53DD">
                  <w:pPr>
                    <w:pStyle w:val="TAC"/>
                    <w:rPr>
                      <w:rFonts w:cs="Arial"/>
                      <w:lang w:eastAsia="en-US"/>
                    </w:rPr>
                  </w:pPr>
                  <w:r w:rsidRPr="00AA53DD">
                    <w:rPr>
                      <w:rFonts w:cs="Arial"/>
                      <w:lang w:eastAsia="en-US"/>
                    </w:rPr>
                    <w:t>covering the lowest and</w:t>
                  </w:r>
                </w:p>
                <w:p w14:paraId="6A07F7F0" w14:textId="47443628" w:rsidR="00AA53DD" w:rsidRPr="00353B15" w:rsidRDefault="00AA53DD" w:rsidP="00AA53DD">
                  <w:pPr>
                    <w:pStyle w:val="TAC"/>
                    <w:rPr>
                      <w:rFonts w:cs="Arial"/>
                      <w:lang w:eastAsia="en-US"/>
                    </w:rPr>
                  </w:pPr>
                  <w:r w:rsidRPr="00AA53DD">
                    <w:rPr>
                      <w:rFonts w:cs="Arial"/>
                      <w:lang w:eastAsia="en-US"/>
                    </w:rPr>
                    <w:t>highest operating bands</w:t>
                  </w:r>
                </w:p>
              </w:tc>
              <w:tc>
                <w:tcPr>
                  <w:tcW w:w="2201" w:type="dxa"/>
                  <w:shd w:val="clear" w:color="auto" w:fill="auto"/>
                  <w:vAlign w:val="center"/>
                </w:tcPr>
                <w:p w14:paraId="7E8B0ED3" w14:textId="77777777" w:rsidR="00AA53DD" w:rsidRPr="00AA53DD" w:rsidRDefault="00AA53DD" w:rsidP="00AA53DD">
                  <w:pPr>
                    <w:pStyle w:val="TAC"/>
                    <w:rPr>
                      <w:rFonts w:cs="Arial"/>
                      <w:lang w:eastAsia="en-US"/>
                    </w:rPr>
                  </w:pPr>
                  <w:r w:rsidRPr="00AA53DD">
                    <w:rPr>
                      <w:rFonts w:cs="Arial"/>
                      <w:lang w:eastAsia="en-US"/>
                    </w:rPr>
                    <w:t>Largest aggregated CA</w:t>
                  </w:r>
                </w:p>
                <w:p w14:paraId="4EBFA234" w14:textId="37C4BE12" w:rsidR="00AA53DD" w:rsidRPr="00353B15" w:rsidRDefault="00AA53DD" w:rsidP="00AA53DD">
                  <w:pPr>
                    <w:pStyle w:val="TAC"/>
                    <w:rPr>
                      <w:rFonts w:cs="Arial"/>
                      <w:lang w:eastAsia="en-US"/>
                    </w:rPr>
                  </w:pPr>
                  <w:r w:rsidRPr="00AA53DD">
                    <w:rPr>
                      <w:rFonts w:cs="Arial"/>
                      <w:lang w:eastAsia="en-US"/>
                    </w:rPr>
                    <w:t>bandwidth combinations</w:t>
                  </w:r>
                </w:p>
              </w:tc>
            </w:tr>
          </w:tbl>
          <w:p w14:paraId="046A7F56" w14:textId="77777777" w:rsidR="00AB58B3" w:rsidRDefault="00AB58B3" w:rsidP="009E1197"/>
          <w:p w14:paraId="04A3BF44" w14:textId="77777777" w:rsidR="00FF63B4" w:rsidRPr="00FF63B4" w:rsidRDefault="00FF63B4" w:rsidP="00FF63B4">
            <w:pPr>
              <w:rPr>
                <w:u w:val="single"/>
                <w:lang w:val="en-GB"/>
              </w:rPr>
            </w:pPr>
            <w:r w:rsidRPr="00FF63B4">
              <w:rPr>
                <w:u w:val="single"/>
                <w:lang w:val="en-GB"/>
              </w:rPr>
              <w:t>TS 36.101 8.1.2.4</w:t>
            </w:r>
          </w:p>
          <w:p w14:paraId="18ED4FF3" w14:textId="77777777" w:rsidR="00FF63B4" w:rsidRPr="00FF63B4" w:rsidRDefault="00FF63B4" w:rsidP="00FF63B4">
            <w:pPr>
              <w:pStyle w:val="ListParagraph"/>
              <w:numPr>
                <w:ilvl w:val="0"/>
                <w:numId w:val="23"/>
              </w:numPr>
              <w:rPr>
                <w:lang w:val="en-GB"/>
              </w:rPr>
            </w:pPr>
            <w:r w:rsidRPr="00FF63B4">
              <w:rPr>
                <w:lang w:val="en-GB"/>
              </w:rPr>
              <w:t>For FDD CA power imbalance tests specified in 8.2.1.7.1, if they are tested with FDD intra-band contiguous CA configurations with 2 DL CCs, the test coverage can be considered fulfilled with FDD intra-band contiguous CA configurations with 3 or more DL CCs supported by the UE.</w:t>
            </w:r>
          </w:p>
          <w:p w14:paraId="4F5A64EA" w14:textId="17921CAB" w:rsidR="00FF63B4" w:rsidRPr="00FF63B4" w:rsidRDefault="00FF63B4" w:rsidP="009E1197">
            <w:pPr>
              <w:pStyle w:val="ListParagraph"/>
              <w:numPr>
                <w:ilvl w:val="0"/>
                <w:numId w:val="23"/>
              </w:numPr>
              <w:rPr>
                <w:lang w:val="en-GB"/>
              </w:rPr>
            </w:pPr>
            <w:r w:rsidRPr="00FF63B4">
              <w:rPr>
                <w:lang w:val="en-GB"/>
              </w:rPr>
              <w:t>For TDD CA power imbalance tests specified in 8.2.2.7.1, if they are tested with TDD intra-band contiguous CA configurations with 2 DL CCs, the test coverage can be considered fulfilled with TDD intra-band contiguous CA configurations with 3 or more DL CCs supported by the UE.</w:t>
            </w:r>
          </w:p>
        </w:tc>
      </w:tr>
    </w:tbl>
    <w:p w14:paraId="007513BB" w14:textId="77777777" w:rsidR="004808EE" w:rsidRDefault="004808EE" w:rsidP="005A7AA0">
      <w:pPr>
        <w:rPr>
          <w:lang w:val="en-GB"/>
        </w:rPr>
      </w:pPr>
    </w:p>
    <w:p w14:paraId="59B5CE5C" w14:textId="63D6E553" w:rsidR="004808EE" w:rsidRDefault="003D4C8A" w:rsidP="004808EE">
      <w:pPr>
        <w:rPr>
          <w:lang w:val="en-GB"/>
        </w:rPr>
      </w:pPr>
      <w:r>
        <w:rPr>
          <w:lang w:val="en-GB"/>
        </w:rPr>
        <w:t xml:space="preserve">For NR intra-band contiguous CA with power imbalance, </w:t>
      </w:r>
      <w:r w:rsidR="008003D0">
        <w:rPr>
          <w:lang w:val="en-GB"/>
        </w:rPr>
        <w:t xml:space="preserve">we prefer </w:t>
      </w:r>
      <w:r>
        <w:rPr>
          <w:lang w:val="en-GB"/>
        </w:rPr>
        <w:t>to apply the same applicability rule as LTE</w:t>
      </w:r>
      <w:r w:rsidR="00F40019">
        <w:rPr>
          <w:lang w:val="en-GB"/>
        </w:rPr>
        <w:t>. We therefore propose the following applicability rule:</w:t>
      </w:r>
    </w:p>
    <w:p w14:paraId="3FC186CE" w14:textId="691E100C" w:rsidR="00802BAC" w:rsidRPr="00C43CC9" w:rsidRDefault="00F40019" w:rsidP="00802BAC">
      <w:pPr>
        <w:rPr>
          <w:b/>
          <w:bCs/>
          <w:lang w:val="en-GB"/>
        </w:rPr>
      </w:pPr>
      <w:r w:rsidRPr="00C43CC9">
        <w:rPr>
          <w:b/>
          <w:bCs/>
          <w:lang w:val="en-GB"/>
        </w:rPr>
        <w:t xml:space="preserve">Proposal </w:t>
      </w:r>
      <w:r w:rsidR="0071388E">
        <w:rPr>
          <w:b/>
          <w:bCs/>
          <w:lang w:val="en-GB"/>
        </w:rPr>
        <w:t>2</w:t>
      </w:r>
      <w:r w:rsidRPr="00C43CC9">
        <w:rPr>
          <w:b/>
          <w:bCs/>
          <w:lang w:val="en-GB"/>
        </w:rPr>
        <w:t xml:space="preserve">: </w:t>
      </w:r>
      <w:r w:rsidR="00802BAC" w:rsidRPr="00C43CC9">
        <w:rPr>
          <w:b/>
          <w:bCs/>
          <w:lang w:val="en-GB"/>
        </w:rPr>
        <w:t xml:space="preserve">Apply the following applicability rule for NR intra-band contiguous CA with power imbalance scenario: </w:t>
      </w:r>
    </w:p>
    <w:p w14:paraId="11F0127D" w14:textId="77777777" w:rsidR="00802BAC" w:rsidRPr="00C43CC9" w:rsidRDefault="00802BAC" w:rsidP="00802BAC">
      <w:pPr>
        <w:pStyle w:val="ListParagraph"/>
        <w:numPr>
          <w:ilvl w:val="0"/>
          <w:numId w:val="23"/>
        </w:numPr>
        <w:rPr>
          <w:b/>
          <w:bCs/>
          <w:lang w:val="en-GB"/>
        </w:rPr>
      </w:pPr>
      <w:r w:rsidRPr="00C43CC9">
        <w:rPr>
          <w:b/>
          <w:bCs/>
          <w:lang w:val="en-GB"/>
        </w:rPr>
        <w:t>For FDD CA power imbalance tests, if they are tested with FDD intra-band contiguous CA configurations with 2 DL CCs, the test coverage can be considered fulfilled with FDD intra-band contiguous CA configurations with 3 or more DL CCs supported by the UE.</w:t>
      </w:r>
    </w:p>
    <w:p w14:paraId="25847B91" w14:textId="415A9418" w:rsidR="00F40019" w:rsidRPr="00C43CC9" w:rsidRDefault="00802BAC" w:rsidP="00802BAC">
      <w:pPr>
        <w:pStyle w:val="ListParagraph"/>
        <w:numPr>
          <w:ilvl w:val="0"/>
          <w:numId w:val="23"/>
        </w:numPr>
        <w:rPr>
          <w:b/>
          <w:bCs/>
          <w:lang w:val="en-GB"/>
        </w:rPr>
      </w:pPr>
      <w:r w:rsidRPr="00C43CC9">
        <w:rPr>
          <w:b/>
          <w:bCs/>
          <w:lang w:val="en-GB"/>
        </w:rPr>
        <w:t xml:space="preserve">For FDD CA power imbalance tests with 2 DL CCs, test </w:t>
      </w:r>
      <w:r w:rsidR="0032776C" w:rsidRPr="00C43CC9">
        <w:rPr>
          <w:b/>
          <w:bCs/>
          <w:lang w:val="en-GB"/>
        </w:rPr>
        <w:t xml:space="preserve">only </w:t>
      </w:r>
      <w:r w:rsidRPr="00C43CC9">
        <w:rPr>
          <w:b/>
          <w:bCs/>
          <w:lang w:val="en-GB"/>
        </w:rPr>
        <w:t>the supported intra-band contiguous CA configurations covering the lowest and highest operating bands.</w:t>
      </w:r>
    </w:p>
    <w:p w14:paraId="36685B55" w14:textId="4C4A6A65" w:rsidR="00C43CC9" w:rsidRPr="00C43CC9" w:rsidRDefault="00C43CC9" w:rsidP="00C43CC9">
      <w:pPr>
        <w:pStyle w:val="ListParagraph"/>
        <w:numPr>
          <w:ilvl w:val="0"/>
          <w:numId w:val="23"/>
        </w:numPr>
        <w:rPr>
          <w:b/>
          <w:bCs/>
          <w:lang w:val="en-GB"/>
        </w:rPr>
      </w:pPr>
      <w:r w:rsidRPr="00C43CC9">
        <w:rPr>
          <w:b/>
          <w:bCs/>
          <w:lang w:val="en-GB"/>
        </w:rPr>
        <w:t>For TDD CA power imbalance tests, if they are tested with TDD intra-band contiguous CA configurations with 2 DL CCs, the test coverage can be considered fulfilled with TDD intra-band contiguous CA configurations with 3 or more DL CCs supported by the UE.</w:t>
      </w:r>
    </w:p>
    <w:p w14:paraId="5C849F7F" w14:textId="4AF04099" w:rsidR="00C43CC9" w:rsidRPr="00C43CC9" w:rsidRDefault="00C43CC9" w:rsidP="00C43CC9">
      <w:pPr>
        <w:pStyle w:val="ListParagraph"/>
        <w:numPr>
          <w:ilvl w:val="0"/>
          <w:numId w:val="23"/>
        </w:numPr>
        <w:rPr>
          <w:b/>
          <w:bCs/>
          <w:lang w:val="en-GB"/>
        </w:rPr>
      </w:pPr>
      <w:r w:rsidRPr="00C43CC9">
        <w:rPr>
          <w:b/>
          <w:bCs/>
          <w:lang w:val="en-GB"/>
        </w:rPr>
        <w:lastRenderedPageBreak/>
        <w:t>For TDD CA power imbalance tests with 2 DL CCs, test only the supported intra-band contiguous CA configurations covering the lowest and highest operating bands.</w:t>
      </w:r>
    </w:p>
    <w:p w14:paraId="6945F58E" w14:textId="25BF074F" w:rsidR="004808EE" w:rsidRDefault="004808EE" w:rsidP="005A7AA0">
      <w:pPr>
        <w:rPr>
          <w:lang w:val="en-GB"/>
        </w:rPr>
      </w:pPr>
    </w:p>
    <w:p w14:paraId="7D86FB29" w14:textId="65BDA3D7" w:rsidR="0046792F" w:rsidRDefault="0046792F" w:rsidP="0046792F">
      <w:pPr>
        <w:pStyle w:val="Heading2"/>
      </w:pPr>
      <w:r w:rsidRPr="006E2E3E">
        <w:t>2.</w:t>
      </w:r>
      <w:r>
        <w:t>2</w:t>
      </w:r>
      <w:r w:rsidRPr="006E2E3E">
        <w:tab/>
        <w:t xml:space="preserve">NR PDSCH with </w:t>
      </w:r>
      <w:r>
        <w:t xml:space="preserve">intra-band </w:t>
      </w:r>
      <w:r w:rsidRPr="006E2E3E">
        <w:t>contiguous EN-DC</w:t>
      </w:r>
    </w:p>
    <w:p w14:paraId="088790AA" w14:textId="420549EC" w:rsidR="0033770A" w:rsidRDefault="000C3262" w:rsidP="0033770A">
      <w:pPr>
        <w:rPr>
          <w:lang w:val="en-GB"/>
        </w:rPr>
      </w:pPr>
      <w:r>
        <w:rPr>
          <w:lang w:val="en-GB"/>
        </w:rPr>
        <w:t>For the c</w:t>
      </w:r>
      <w:r w:rsidRPr="000C3262">
        <w:rPr>
          <w:lang w:val="en-GB"/>
        </w:rPr>
        <w:t>hannel bandwidth combination for defining performance requirements​</w:t>
      </w:r>
      <w:r>
        <w:rPr>
          <w:lang w:val="en-GB"/>
        </w:rPr>
        <w:t xml:space="preserve"> for intra-band contiguous EN-DC test, RAN4 agreed to r</w:t>
      </w:r>
      <w:r w:rsidRPr="000C3262">
        <w:rPr>
          <w:lang w:val="en-GB"/>
        </w:rPr>
        <w:t xml:space="preserve">euse the agreement from </w:t>
      </w:r>
      <w:r>
        <w:rPr>
          <w:lang w:val="en-GB"/>
        </w:rPr>
        <w:t xml:space="preserve">the </w:t>
      </w:r>
      <w:r w:rsidRPr="000C3262">
        <w:rPr>
          <w:lang w:val="en-GB"/>
        </w:rPr>
        <w:t>intra-band contiguous CA</w:t>
      </w:r>
      <w:r>
        <w:rPr>
          <w:lang w:val="en-GB"/>
        </w:rPr>
        <w:t xml:space="preserve">. We therefore propose to </w:t>
      </w:r>
      <w:r w:rsidR="002843A0">
        <w:rPr>
          <w:lang w:val="en-GB"/>
        </w:rPr>
        <w:t>configure</w:t>
      </w:r>
      <w:r>
        <w:rPr>
          <w:lang w:val="en-GB"/>
        </w:rPr>
        <w:t xml:space="preserve"> the same MCS </w:t>
      </w:r>
      <w:r w:rsidR="00162AD5">
        <w:rPr>
          <w:lang w:val="en-GB"/>
        </w:rPr>
        <w:t>for</w:t>
      </w:r>
      <w:r w:rsidR="002843A0">
        <w:rPr>
          <w:lang w:val="en-GB"/>
        </w:rPr>
        <w:t xml:space="preserve"> the</w:t>
      </w:r>
      <w:r>
        <w:rPr>
          <w:lang w:val="en-GB"/>
        </w:rPr>
        <w:t xml:space="preserve"> intra-band contiguous EN-DC test.</w:t>
      </w:r>
    </w:p>
    <w:p w14:paraId="6FDF29EA" w14:textId="6AE1BB0E" w:rsidR="0033770A" w:rsidRPr="0033770A" w:rsidRDefault="0033770A" w:rsidP="0033770A">
      <w:pPr>
        <w:rPr>
          <w:lang w:val="en-GB"/>
        </w:rPr>
      </w:pPr>
      <w:r w:rsidRPr="00BB176A">
        <w:rPr>
          <w:b/>
          <w:bCs/>
          <w:lang w:val="en-GB"/>
        </w:rPr>
        <w:t xml:space="preserve">Proposal </w:t>
      </w:r>
      <w:r>
        <w:rPr>
          <w:b/>
          <w:bCs/>
          <w:lang w:val="en-GB"/>
        </w:rPr>
        <w:t>3</w:t>
      </w:r>
      <w:r w:rsidRPr="00BB176A">
        <w:rPr>
          <w:b/>
          <w:bCs/>
          <w:lang w:val="en-GB"/>
        </w:rPr>
        <w:t xml:space="preserve">: </w:t>
      </w:r>
      <w:r>
        <w:rPr>
          <w:b/>
          <w:bCs/>
          <w:lang w:val="en-GB"/>
        </w:rPr>
        <w:t>Configure</w:t>
      </w:r>
      <w:r w:rsidRPr="00BB176A">
        <w:rPr>
          <w:b/>
          <w:bCs/>
          <w:lang w:val="en-GB"/>
        </w:rPr>
        <w:t xml:space="preserve"> MCS 27 for 2Rx and MCS 28 for 4Rx</w:t>
      </w:r>
      <w:r>
        <w:rPr>
          <w:b/>
          <w:bCs/>
          <w:lang w:val="en-GB"/>
        </w:rPr>
        <w:t xml:space="preserve"> for intra-band contiguous NE-DC test with power imbalance.</w:t>
      </w:r>
    </w:p>
    <w:p w14:paraId="2C8821D7" w14:textId="5F57D64A" w:rsidR="0046792F" w:rsidRPr="0033770A" w:rsidRDefault="0046792F" w:rsidP="000C3262">
      <w:pPr>
        <w:rPr>
          <w:lang w:val="en-GB"/>
        </w:rPr>
      </w:pPr>
    </w:p>
    <w:p w14:paraId="5EB65CF9" w14:textId="3EB01A7A" w:rsidR="00DF7820" w:rsidRDefault="006E2E3E" w:rsidP="006E2E3E">
      <w:pPr>
        <w:pStyle w:val="Heading2"/>
      </w:pPr>
      <w:r w:rsidRPr="006E2E3E">
        <w:t>2.3</w:t>
      </w:r>
      <w:r w:rsidRPr="006E2E3E">
        <w:tab/>
        <w:t xml:space="preserve">NR PDSCH with </w:t>
      </w:r>
      <w:r w:rsidR="00850ACB">
        <w:t xml:space="preserve">intra-band </w:t>
      </w:r>
      <w:r w:rsidRPr="006E2E3E">
        <w:t>non-contiguous EN-DC</w:t>
      </w:r>
    </w:p>
    <w:p w14:paraId="45F732F2" w14:textId="663C46BD" w:rsidR="00C24883" w:rsidRDefault="00567A0D" w:rsidP="00C24883">
      <w:pPr>
        <w:pStyle w:val="Heading3"/>
      </w:pPr>
      <w:r>
        <w:t>2.3.1</w:t>
      </w:r>
      <w:r>
        <w:tab/>
      </w:r>
      <w:r w:rsidR="00B6266F">
        <w:t xml:space="preserve">Selection of </w:t>
      </w:r>
      <w:r w:rsidR="00C24883">
        <w:t>CBW combinations</w:t>
      </w:r>
    </w:p>
    <w:p w14:paraId="3172A0A5" w14:textId="035E2D97" w:rsidR="009B39CE" w:rsidRPr="009B39CE" w:rsidRDefault="009B39CE" w:rsidP="009B39CE">
      <w:pPr>
        <w:rPr>
          <w:lang w:val="en-GB"/>
        </w:rPr>
      </w:pPr>
      <w:r>
        <w:rPr>
          <w:lang w:val="en-GB"/>
        </w:rPr>
        <w:t xml:space="preserve">RAN4#96-e discussed several options for the </w:t>
      </w:r>
      <w:r>
        <w:t>selection of CBW combinations for intra-band non-contiguous EN-DC tests</w:t>
      </w:r>
      <w:r w:rsidR="005B2CB5">
        <w:t xml:space="preserve"> as follow:</w:t>
      </w:r>
    </w:p>
    <w:tbl>
      <w:tblPr>
        <w:tblStyle w:val="TableGrid"/>
        <w:tblW w:w="0" w:type="auto"/>
        <w:tblLook w:val="04A0" w:firstRow="1" w:lastRow="0" w:firstColumn="1" w:lastColumn="0" w:noHBand="0" w:noVBand="1"/>
      </w:tblPr>
      <w:tblGrid>
        <w:gridCol w:w="9629"/>
      </w:tblGrid>
      <w:tr w:rsidR="00C02651" w14:paraId="7A547F4C" w14:textId="77777777" w:rsidTr="00C02651">
        <w:tc>
          <w:tcPr>
            <w:tcW w:w="9629" w:type="dxa"/>
          </w:tcPr>
          <w:p w14:paraId="2F2F72C1" w14:textId="77777777" w:rsidR="00C02651" w:rsidRPr="00C02651" w:rsidRDefault="00C02651" w:rsidP="002179F1">
            <w:pPr>
              <w:pStyle w:val="TAL"/>
              <w:rPr>
                <w:lang w:val="en-GB"/>
              </w:rPr>
            </w:pPr>
            <w:r w:rsidRPr="00C02651">
              <w:rPr>
                <w:lang w:val="en-GB"/>
              </w:rPr>
              <w:lastRenderedPageBreak/>
              <w:t>Channel bandwidth combination for testing​</w:t>
            </w:r>
          </w:p>
          <w:p w14:paraId="4A40A0C4" w14:textId="77777777" w:rsidR="00C02651" w:rsidRPr="002179F1" w:rsidRDefault="00C02651" w:rsidP="002179F1">
            <w:pPr>
              <w:pStyle w:val="TAL"/>
              <w:numPr>
                <w:ilvl w:val="0"/>
                <w:numId w:val="19"/>
              </w:numPr>
              <w:rPr>
                <w:lang w:val="en-GB"/>
              </w:rPr>
            </w:pPr>
            <w:r w:rsidRPr="002179F1">
              <w:rPr>
                <w:lang w:val="en-GB"/>
              </w:rPr>
              <w:t>Option 1​</w:t>
            </w:r>
          </w:p>
          <w:p w14:paraId="2131873D" w14:textId="77777777" w:rsidR="00C02651" w:rsidRPr="002179F1" w:rsidRDefault="00C02651" w:rsidP="002179F1">
            <w:pPr>
              <w:pStyle w:val="TAL"/>
              <w:numPr>
                <w:ilvl w:val="1"/>
                <w:numId w:val="19"/>
              </w:numPr>
              <w:rPr>
                <w:lang w:val="en-GB"/>
              </w:rPr>
            </w:pPr>
            <w:r w:rsidRPr="002179F1">
              <w:rPr>
                <w:lang w:val="en-GB"/>
              </w:rPr>
              <w:t>Step 1: First select the CBW combinations with the same BWs in each carrier​</w:t>
            </w:r>
          </w:p>
          <w:p w14:paraId="0C49B956" w14:textId="04D88BD3" w:rsidR="00C02651" w:rsidRPr="002179F1" w:rsidRDefault="00C02651" w:rsidP="002179F1">
            <w:pPr>
              <w:pStyle w:val="TAL"/>
              <w:numPr>
                <w:ilvl w:val="2"/>
                <w:numId w:val="19"/>
              </w:numPr>
              <w:rPr>
                <w:lang w:val="en-GB"/>
              </w:rPr>
            </w:pPr>
            <w:r w:rsidRPr="002179F1">
              <w:rPr>
                <w:lang w:val="en-GB"/>
              </w:rPr>
              <w:t>If there is no such CBW combination, select the CBW combinations with smallest CBW difference between the two carriers.</w:t>
            </w:r>
          </w:p>
          <w:p w14:paraId="58E77242" w14:textId="77777777" w:rsidR="00C02651" w:rsidRPr="002179F1" w:rsidRDefault="00C02651" w:rsidP="002179F1">
            <w:pPr>
              <w:pStyle w:val="TAL"/>
              <w:numPr>
                <w:ilvl w:val="1"/>
                <w:numId w:val="19"/>
              </w:numPr>
              <w:rPr>
                <w:lang w:val="en-GB"/>
              </w:rPr>
            </w:pPr>
            <w:r w:rsidRPr="002179F1">
              <w:rPr>
                <w:lang w:val="en-GB"/>
              </w:rPr>
              <w:t>Step 2: Among the CBW combinations selected from step 1, select the CBW combinations where the NR carrier has smaller CBW than the LTE carrier; if no such CBW combination, directly go to step 3.​</w:t>
            </w:r>
          </w:p>
          <w:p w14:paraId="0EB83F15" w14:textId="77777777" w:rsidR="00C02651" w:rsidRPr="002179F1" w:rsidRDefault="00C02651" w:rsidP="002179F1">
            <w:pPr>
              <w:pStyle w:val="TAL"/>
              <w:numPr>
                <w:ilvl w:val="1"/>
                <w:numId w:val="19"/>
              </w:numPr>
              <w:rPr>
                <w:lang w:val="en-GB"/>
              </w:rPr>
            </w:pPr>
            <w:r w:rsidRPr="002179F1">
              <w:rPr>
                <w:lang w:val="en-GB"/>
              </w:rPr>
              <w:t>Step 3: Among the CBW combinations selected from step 2, select the EN-DC combination with largest aggregated CBW​</w:t>
            </w:r>
          </w:p>
          <w:p w14:paraId="60C4E303" w14:textId="77777777" w:rsidR="00C02651" w:rsidRPr="002179F1" w:rsidRDefault="00C02651" w:rsidP="002179F1">
            <w:pPr>
              <w:pStyle w:val="TAL"/>
              <w:numPr>
                <w:ilvl w:val="0"/>
                <w:numId w:val="19"/>
              </w:numPr>
              <w:rPr>
                <w:lang w:val="en-GB"/>
              </w:rPr>
            </w:pPr>
            <w:r w:rsidRPr="002179F1">
              <w:rPr>
                <w:lang w:val="en-GB"/>
              </w:rPr>
              <w:t>Option 2​</w:t>
            </w:r>
          </w:p>
          <w:p w14:paraId="1F06AA45" w14:textId="77777777" w:rsidR="00C02651" w:rsidRPr="002179F1" w:rsidRDefault="00C02651" w:rsidP="002179F1">
            <w:pPr>
              <w:pStyle w:val="TAL"/>
              <w:numPr>
                <w:ilvl w:val="1"/>
                <w:numId w:val="19"/>
              </w:numPr>
              <w:rPr>
                <w:lang w:val="en-GB"/>
              </w:rPr>
            </w:pPr>
            <w:r w:rsidRPr="002179F1">
              <w:rPr>
                <w:lang w:val="en-GB"/>
              </w:rPr>
              <w:t>Step 1: First select the CBW combinations with the same BWs between LTE carrier (single carrier or aggregated carriers) and NR carrier​</w:t>
            </w:r>
          </w:p>
          <w:p w14:paraId="7BFEBF10" w14:textId="0278DFD1" w:rsidR="00C02651" w:rsidRPr="002179F1" w:rsidRDefault="00C02651" w:rsidP="002179F1">
            <w:pPr>
              <w:pStyle w:val="TAL"/>
              <w:numPr>
                <w:ilvl w:val="2"/>
                <w:numId w:val="19"/>
              </w:numPr>
              <w:rPr>
                <w:lang w:val="en-GB"/>
              </w:rPr>
            </w:pPr>
            <w:r w:rsidRPr="002179F1">
              <w:rPr>
                <w:lang w:val="en-GB"/>
              </w:rPr>
              <w:t>If there is no such CBW combination, select the CBW combinations with smallest CBW difference between the two carriers.</w:t>
            </w:r>
          </w:p>
          <w:p w14:paraId="246C5742" w14:textId="722F174F" w:rsidR="00C02651" w:rsidRPr="002179F1" w:rsidRDefault="00C02651" w:rsidP="002179F1">
            <w:pPr>
              <w:pStyle w:val="TAL"/>
              <w:numPr>
                <w:ilvl w:val="3"/>
                <w:numId w:val="19"/>
              </w:numPr>
              <w:rPr>
                <w:lang w:val="en-GB"/>
              </w:rPr>
            </w:pPr>
            <w:r w:rsidRPr="002179F1">
              <w:rPr>
                <w:lang w:val="en-GB"/>
              </w:rPr>
              <w:t>If frequency range of NR carrier is higher than LTE carrier, then the test RBs will be allocated on the highest part of NR carrier.</w:t>
            </w:r>
          </w:p>
          <w:p w14:paraId="4E8EF534" w14:textId="139E2F5C" w:rsidR="00C02651" w:rsidRPr="002179F1" w:rsidRDefault="00C02651" w:rsidP="002179F1">
            <w:pPr>
              <w:pStyle w:val="TAL"/>
              <w:numPr>
                <w:ilvl w:val="3"/>
                <w:numId w:val="19"/>
              </w:numPr>
              <w:rPr>
                <w:lang w:val="en-GB"/>
              </w:rPr>
            </w:pPr>
            <w:r w:rsidRPr="002179F1">
              <w:rPr>
                <w:lang w:val="en-GB"/>
              </w:rPr>
              <w:t>If frequency range of NR carrier is lower than LTE carrier, then the test RBs will be allocated on the lowest part of NR carrier.</w:t>
            </w:r>
          </w:p>
          <w:p w14:paraId="079B378A" w14:textId="77777777" w:rsidR="00C02651" w:rsidRPr="002179F1" w:rsidRDefault="00C02651" w:rsidP="002179F1">
            <w:pPr>
              <w:pStyle w:val="TAL"/>
              <w:numPr>
                <w:ilvl w:val="1"/>
                <w:numId w:val="19"/>
              </w:numPr>
              <w:rPr>
                <w:lang w:val="en-GB"/>
              </w:rPr>
            </w:pPr>
            <w:r w:rsidRPr="002179F1">
              <w:rPr>
                <w:lang w:val="en-GB"/>
              </w:rPr>
              <w:t>Step 2: Among the CBW combinations selected from step 1, select the EN-DC combination with largest aggregated CBW.​</w:t>
            </w:r>
          </w:p>
          <w:p w14:paraId="0309EB06" w14:textId="77777777" w:rsidR="00C02651" w:rsidRPr="002179F1" w:rsidRDefault="00C02651" w:rsidP="002179F1">
            <w:pPr>
              <w:pStyle w:val="TAL"/>
              <w:numPr>
                <w:ilvl w:val="0"/>
                <w:numId w:val="19"/>
              </w:numPr>
              <w:rPr>
                <w:lang w:val="en-GB"/>
              </w:rPr>
            </w:pPr>
            <w:r w:rsidRPr="002179F1">
              <w:rPr>
                <w:lang w:val="en-GB"/>
              </w:rPr>
              <w:t>Option 3​</w:t>
            </w:r>
          </w:p>
          <w:p w14:paraId="7B4C36C6" w14:textId="368B97FE" w:rsidR="00C02651" w:rsidRPr="002179F1" w:rsidRDefault="00C02651" w:rsidP="002179F1">
            <w:pPr>
              <w:pStyle w:val="TAL"/>
              <w:numPr>
                <w:ilvl w:val="1"/>
                <w:numId w:val="19"/>
              </w:numPr>
              <w:rPr>
                <w:lang w:val="en-GB"/>
              </w:rPr>
            </w:pPr>
            <w:r w:rsidRPr="002179F1">
              <w:rPr>
                <w:lang w:val="en-GB"/>
              </w:rPr>
              <w:t>Step 1: First select the CBW combinations with the same BWs in each carrier. If there is no such CBW combination, go to Step 1a and Step 1b, otherwise Step 2.</w:t>
            </w:r>
          </w:p>
          <w:p w14:paraId="2D1F1CE5" w14:textId="77777777" w:rsidR="00C02651" w:rsidRPr="002179F1" w:rsidRDefault="00C02651" w:rsidP="002179F1">
            <w:pPr>
              <w:pStyle w:val="TAL"/>
              <w:numPr>
                <w:ilvl w:val="2"/>
                <w:numId w:val="19"/>
              </w:numPr>
              <w:rPr>
                <w:lang w:val="en-GB"/>
              </w:rPr>
            </w:pPr>
            <w:r w:rsidRPr="002179F1">
              <w:rPr>
                <w:lang w:val="en-GB"/>
              </w:rPr>
              <w:t>Step 1a: Select the CBW combinations that the BW of NR carrier is smaller than the BW of LTE carrier​</w:t>
            </w:r>
          </w:p>
          <w:p w14:paraId="4155E5FD" w14:textId="77777777" w:rsidR="00C02651" w:rsidRPr="002179F1" w:rsidRDefault="00C02651" w:rsidP="002179F1">
            <w:pPr>
              <w:pStyle w:val="TAL"/>
              <w:numPr>
                <w:ilvl w:val="2"/>
                <w:numId w:val="19"/>
              </w:numPr>
              <w:rPr>
                <w:lang w:val="en-GB"/>
              </w:rPr>
            </w:pPr>
            <w:r w:rsidRPr="002179F1">
              <w:rPr>
                <w:lang w:val="en-GB"/>
              </w:rPr>
              <w:t>Step 1b: Among the CBW combinations selected from Step 1a, select the CBW combinations with the smallest CBW difference between the two carriers​</w:t>
            </w:r>
          </w:p>
          <w:p w14:paraId="1670228A" w14:textId="77777777" w:rsidR="00C02651" w:rsidRPr="002179F1" w:rsidRDefault="00C02651" w:rsidP="002179F1">
            <w:pPr>
              <w:pStyle w:val="TAL"/>
              <w:numPr>
                <w:ilvl w:val="1"/>
                <w:numId w:val="19"/>
              </w:numPr>
              <w:rPr>
                <w:lang w:val="en-GB"/>
              </w:rPr>
            </w:pPr>
            <w:r w:rsidRPr="002179F1">
              <w:rPr>
                <w:lang w:val="en-GB"/>
              </w:rPr>
              <w:t>Step 2: Among the CBW combinations selected from Step 1, select the EN-DC combination with the largest aggregated CBW​</w:t>
            </w:r>
          </w:p>
          <w:p w14:paraId="2F36C833" w14:textId="77777777" w:rsidR="00C02651" w:rsidRPr="002179F1" w:rsidRDefault="00C02651" w:rsidP="002179F1">
            <w:pPr>
              <w:pStyle w:val="TAL"/>
              <w:numPr>
                <w:ilvl w:val="0"/>
                <w:numId w:val="19"/>
              </w:numPr>
              <w:rPr>
                <w:lang w:val="en-GB"/>
              </w:rPr>
            </w:pPr>
            <w:r w:rsidRPr="002179F1">
              <w:rPr>
                <w:lang w:val="en-GB"/>
              </w:rPr>
              <w:t>Option 4​</w:t>
            </w:r>
          </w:p>
          <w:p w14:paraId="36172AE7" w14:textId="77777777" w:rsidR="00C02651" w:rsidRPr="002179F1" w:rsidRDefault="00C02651" w:rsidP="002179F1">
            <w:pPr>
              <w:pStyle w:val="TAL"/>
              <w:numPr>
                <w:ilvl w:val="1"/>
                <w:numId w:val="19"/>
              </w:numPr>
              <w:rPr>
                <w:lang w:val="en-GB"/>
              </w:rPr>
            </w:pPr>
            <w:r w:rsidRPr="002179F1">
              <w:rPr>
                <w:lang w:val="en-GB"/>
              </w:rPr>
              <w:t>Step 1: First select the CBW combinations with the same BWs between LTE carrier (single carrier or aggregated contiguous carriers) and NR carrier. If there is no such CBW combination, go to Step 1a, Step 1b and Step 1c.​</w:t>
            </w:r>
          </w:p>
          <w:p w14:paraId="6C615A62" w14:textId="77777777" w:rsidR="00C02651" w:rsidRPr="002179F1" w:rsidRDefault="00C02651" w:rsidP="002179F1">
            <w:pPr>
              <w:pStyle w:val="TAL"/>
              <w:numPr>
                <w:ilvl w:val="2"/>
                <w:numId w:val="19"/>
              </w:numPr>
              <w:rPr>
                <w:lang w:val="en-GB"/>
              </w:rPr>
            </w:pPr>
            <w:r w:rsidRPr="002179F1">
              <w:rPr>
                <w:lang w:val="en-GB"/>
              </w:rPr>
              <w:t>Step 1a: Select the CBW combinations that the BW of NR carrier is smaller than the (aggregated) BW of LTE carrier(s). If there is no such CBW combination, go to Step 1c.​</w:t>
            </w:r>
          </w:p>
          <w:p w14:paraId="6F55CE52" w14:textId="2FB051DA" w:rsidR="00C02651" w:rsidRPr="002179F1" w:rsidRDefault="00C02651" w:rsidP="002179F1">
            <w:pPr>
              <w:pStyle w:val="TAL"/>
              <w:numPr>
                <w:ilvl w:val="2"/>
                <w:numId w:val="19"/>
              </w:numPr>
              <w:rPr>
                <w:lang w:val="en-GB"/>
              </w:rPr>
            </w:pPr>
            <w:r w:rsidRPr="002179F1">
              <w:rPr>
                <w:lang w:val="en-GB"/>
              </w:rPr>
              <w:t>Step 1b: Among the CBW combinations selected from Step 1a, select the CBW combinations with the smallest CBW difference between NR carrier and LTE carrier(s)​</w:t>
            </w:r>
          </w:p>
          <w:p w14:paraId="28DB4E8A" w14:textId="7A21776E" w:rsidR="00C02651" w:rsidRPr="002179F1" w:rsidRDefault="00C02651" w:rsidP="002179F1">
            <w:pPr>
              <w:pStyle w:val="TAL"/>
              <w:numPr>
                <w:ilvl w:val="2"/>
                <w:numId w:val="19"/>
              </w:numPr>
              <w:rPr>
                <w:lang w:val="en-GB"/>
              </w:rPr>
            </w:pPr>
            <w:r w:rsidRPr="002179F1">
              <w:rPr>
                <w:lang w:val="en-GB"/>
              </w:rPr>
              <w:t>Step 1c: select the EN-DC combinations with smallest CBW difference between the NR carrier and LTE carrier(s). ​</w:t>
            </w:r>
          </w:p>
          <w:p w14:paraId="0060BF08" w14:textId="77777777" w:rsidR="00C02651" w:rsidRPr="002179F1" w:rsidRDefault="00C02651" w:rsidP="002179F1">
            <w:pPr>
              <w:pStyle w:val="TAL"/>
              <w:numPr>
                <w:ilvl w:val="1"/>
                <w:numId w:val="19"/>
              </w:numPr>
              <w:rPr>
                <w:lang w:val="en-GB"/>
              </w:rPr>
            </w:pPr>
            <w:r w:rsidRPr="002179F1">
              <w:rPr>
                <w:lang w:val="en-GB"/>
              </w:rPr>
              <w:t>Step 2: Among the CBW combinations selected from Step 1, select the EN-DC combination with the largest aggregated CBW​</w:t>
            </w:r>
          </w:p>
          <w:p w14:paraId="26504D32" w14:textId="77777777" w:rsidR="00C90C5E" w:rsidRDefault="00C02651" w:rsidP="00C90C5E">
            <w:pPr>
              <w:pStyle w:val="TAL"/>
              <w:numPr>
                <w:ilvl w:val="0"/>
                <w:numId w:val="19"/>
              </w:numPr>
              <w:rPr>
                <w:lang w:val="en-GB"/>
              </w:rPr>
            </w:pPr>
            <w:r w:rsidRPr="002179F1">
              <w:rPr>
                <w:lang w:val="en-GB"/>
              </w:rPr>
              <w:t>Other options are not precluded.</w:t>
            </w:r>
          </w:p>
          <w:p w14:paraId="45B45890" w14:textId="77777777" w:rsidR="00C90C5E" w:rsidRDefault="00C90C5E" w:rsidP="00C90C5E">
            <w:pPr>
              <w:pStyle w:val="TAL"/>
              <w:rPr>
                <w:lang w:val="en-GB"/>
              </w:rPr>
            </w:pPr>
          </w:p>
          <w:p w14:paraId="21C33450" w14:textId="77777777" w:rsidR="00C90C5E" w:rsidRPr="00C90C5E" w:rsidRDefault="00C90C5E" w:rsidP="005852C1">
            <w:pPr>
              <w:pStyle w:val="TAL"/>
              <w:rPr>
                <w:lang w:val="en-GB"/>
              </w:rPr>
            </w:pPr>
            <w:r w:rsidRPr="00C90C5E">
              <w:rPr>
                <w:lang w:val="en-GB"/>
              </w:rPr>
              <w:t>Whether to consider the aggregated contiguous carriers for LTE if UE supports it?​</w:t>
            </w:r>
          </w:p>
          <w:p w14:paraId="0D8FEDE1" w14:textId="77777777" w:rsidR="00C90C5E" w:rsidRPr="00C90C5E" w:rsidRDefault="00C90C5E" w:rsidP="005852C1">
            <w:pPr>
              <w:pStyle w:val="TAL"/>
              <w:numPr>
                <w:ilvl w:val="0"/>
                <w:numId w:val="19"/>
              </w:numPr>
              <w:rPr>
                <w:lang w:val="en-GB"/>
              </w:rPr>
            </w:pPr>
            <w:r w:rsidRPr="00C90C5E">
              <w:rPr>
                <w:lang w:val="en-GB"/>
              </w:rPr>
              <w:t>Option 1: Consider the aggregated contiguous carriers for LTE​</w:t>
            </w:r>
          </w:p>
          <w:p w14:paraId="1AEA96DA" w14:textId="77777777" w:rsidR="00C90C5E" w:rsidRPr="00C90C5E" w:rsidRDefault="00C90C5E" w:rsidP="005852C1">
            <w:pPr>
              <w:pStyle w:val="TAL"/>
              <w:numPr>
                <w:ilvl w:val="0"/>
                <w:numId w:val="19"/>
              </w:numPr>
              <w:rPr>
                <w:lang w:val="en-GB"/>
              </w:rPr>
            </w:pPr>
            <w:r w:rsidRPr="00C90C5E">
              <w:rPr>
                <w:lang w:val="en-GB"/>
              </w:rPr>
              <w:t>Option 2: Do not consider the aggregated contiguous carriers for LTE​</w:t>
            </w:r>
          </w:p>
          <w:p w14:paraId="2511B486" w14:textId="77777777" w:rsidR="005852C1" w:rsidRDefault="005852C1" w:rsidP="005852C1">
            <w:pPr>
              <w:pStyle w:val="TAL"/>
              <w:rPr>
                <w:lang w:val="en-GB"/>
              </w:rPr>
            </w:pPr>
          </w:p>
          <w:p w14:paraId="3208B0A7" w14:textId="345B13C1" w:rsidR="00C90C5E" w:rsidRPr="00C90C5E" w:rsidRDefault="00C90C5E" w:rsidP="005852C1">
            <w:pPr>
              <w:pStyle w:val="TAL"/>
              <w:rPr>
                <w:lang w:val="en-GB"/>
              </w:rPr>
            </w:pPr>
            <w:r w:rsidRPr="00C90C5E">
              <w:rPr>
                <w:lang w:val="en-GB"/>
              </w:rPr>
              <w:t>Whether to test partial PRB or full PRB for NR carrier, in case the CBW is different in LTE carrier(s) and NR carrier?​</w:t>
            </w:r>
          </w:p>
          <w:p w14:paraId="1555D168" w14:textId="7A535957" w:rsidR="00C90C5E" w:rsidRPr="00C90C5E" w:rsidRDefault="00C90C5E" w:rsidP="005852C1">
            <w:pPr>
              <w:pStyle w:val="TAL"/>
              <w:numPr>
                <w:ilvl w:val="0"/>
                <w:numId w:val="19"/>
              </w:numPr>
              <w:rPr>
                <w:lang w:val="en-GB"/>
              </w:rPr>
            </w:pPr>
            <w:r w:rsidRPr="00C90C5E">
              <w:rPr>
                <w:lang w:val="en-GB"/>
              </w:rPr>
              <w:t>Option 1: Partial PRB ​</w:t>
            </w:r>
          </w:p>
          <w:p w14:paraId="0BFAF76E" w14:textId="77777777" w:rsidR="00C90C5E" w:rsidRDefault="00C90C5E" w:rsidP="005852C1">
            <w:pPr>
              <w:pStyle w:val="TAL"/>
              <w:numPr>
                <w:ilvl w:val="0"/>
                <w:numId w:val="19"/>
              </w:numPr>
              <w:rPr>
                <w:lang w:val="en-GB"/>
              </w:rPr>
            </w:pPr>
            <w:r w:rsidRPr="00C90C5E">
              <w:rPr>
                <w:lang w:val="en-GB"/>
              </w:rPr>
              <w:t>Option 2: Full PRB</w:t>
            </w:r>
          </w:p>
          <w:p w14:paraId="4D394369" w14:textId="77777777" w:rsidR="005852C1" w:rsidRDefault="005852C1" w:rsidP="005852C1">
            <w:pPr>
              <w:pStyle w:val="TAL"/>
              <w:rPr>
                <w:lang w:val="en-GB"/>
              </w:rPr>
            </w:pPr>
          </w:p>
          <w:p w14:paraId="637C66AE" w14:textId="33473140" w:rsidR="005852C1" w:rsidRDefault="005852C1" w:rsidP="005852C1">
            <w:pPr>
              <w:pStyle w:val="TAL"/>
              <w:rPr>
                <w:lang w:val="en-GB"/>
              </w:rPr>
            </w:pPr>
            <w:r>
              <w:rPr>
                <w:lang w:val="en-GB"/>
              </w:rPr>
              <w:t>LO position</w:t>
            </w:r>
          </w:p>
          <w:p w14:paraId="7797088E" w14:textId="03F1E2A9" w:rsidR="005852C1" w:rsidRPr="005852C1" w:rsidRDefault="005852C1" w:rsidP="005852C1">
            <w:pPr>
              <w:pStyle w:val="TAL"/>
              <w:numPr>
                <w:ilvl w:val="0"/>
                <w:numId w:val="20"/>
              </w:numPr>
              <w:rPr>
                <w:lang w:val="en-GB"/>
              </w:rPr>
            </w:pPr>
            <w:r w:rsidRPr="005852C1">
              <w:rPr>
                <w:lang w:val="en-GB"/>
              </w:rPr>
              <w:t>Option 1: “</w:t>
            </w:r>
            <w:bookmarkStart w:id="7" w:name="_Hlk53433983"/>
            <w:r w:rsidRPr="005852C1">
              <w:rPr>
                <w:lang w:val="en-GB"/>
              </w:rPr>
              <w:t xml:space="preserve">LO in middle” </w:t>
            </w:r>
            <w:bookmarkEnd w:id="7"/>
            <w:r w:rsidRPr="005852C1">
              <w:rPr>
                <w:lang w:val="en-GB"/>
              </w:rPr>
              <w:t>(1st priority)​</w:t>
            </w:r>
          </w:p>
          <w:p w14:paraId="6B360F19" w14:textId="6DEA02CA" w:rsidR="005852C1" w:rsidRPr="005852C1" w:rsidRDefault="005852C1" w:rsidP="005852C1">
            <w:pPr>
              <w:pStyle w:val="TAL"/>
              <w:numPr>
                <w:ilvl w:val="0"/>
                <w:numId w:val="20"/>
              </w:numPr>
              <w:rPr>
                <w:lang w:val="en-GB"/>
              </w:rPr>
            </w:pPr>
            <w:r w:rsidRPr="005852C1">
              <w:rPr>
                <w:lang w:val="en-GB"/>
              </w:rPr>
              <w:t>Option 2: “LO in middle” and “LO at edge of one CC” (2nd priority)​</w:t>
            </w:r>
          </w:p>
          <w:p w14:paraId="2F54A296" w14:textId="41479E26" w:rsidR="005852C1" w:rsidRPr="005852C1" w:rsidRDefault="005852C1" w:rsidP="005852C1">
            <w:pPr>
              <w:pStyle w:val="TAL"/>
              <w:numPr>
                <w:ilvl w:val="1"/>
                <w:numId w:val="20"/>
              </w:numPr>
              <w:rPr>
                <w:lang w:val="en-GB"/>
              </w:rPr>
            </w:pPr>
            <w:r w:rsidRPr="005852C1">
              <w:rPr>
                <w:lang w:val="en-GB"/>
              </w:rPr>
              <w:t>FFS: Channel bandwidth combination for testing​</w:t>
            </w:r>
          </w:p>
          <w:p w14:paraId="5B1972C3" w14:textId="5CEE12FB" w:rsidR="005852C1" w:rsidRPr="00C90C5E" w:rsidRDefault="005852C1" w:rsidP="005852C1">
            <w:pPr>
              <w:pStyle w:val="TAL"/>
              <w:numPr>
                <w:ilvl w:val="1"/>
                <w:numId w:val="20"/>
              </w:numPr>
              <w:rPr>
                <w:lang w:val="en-GB"/>
              </w:rPr>
            </w:pPr>
            <w:r w:rsidRPr="005852C1">
              <w:rPr>
                <w:lang w:val="en-GB"/>
              </w:rPr>
              <w:t>FFS: whether some limitations on frequency separation between two CCs should be included in applicability rule for non-contiguous EN-DC</w:t>
            </w:r>
          </w:p>
        </w:tc>
      </w:tr>
    </w:tbl>
    <w:p w14:paraId="26BC2DFC" w14:textId="5E31DC9A" w:rsidR="00863CA9" w:rsidRDefault="00863CA9" w:rsidP="005A7AA0">
      <w:pPr>
        <w:rPr>
          <w:lang w:val="en-GB"/>
        </w:rPr>
      </w:pPr>
    </w:p>
    <w:p w14:paraId="4ACAC173" w14:textId="77777777" w:rsidR="006B7B9D" w:rsidRDefault="006B7B9D" w:rsidP="006B7B9D">
      <w:pPr>
        <w:rPr>
          <w:lang w:val="en-GB"/>
        </w:rPr>
      </w:pPr>
      <w:r>
        <w:rPr>
          <w:lang w:val="en-GB"/>
        </w:rPr>
        <w:t xml:space="preserve">One of the open issues is whether RAN4 limits the LTE carrier to single CC or allows to consider multiple CCs. According to TS38.101-3 </w:t>
      </w:r>
      <w:r w:rsidRPr="00850ACB">
        <w:rPr>
          <w:lang w:val="en-GB"/>
        </w:rPr>
        <w:t>Table 5.5B.3-1</w:t>
      </w:r>
      <w:r>
        <w:rPr>
          <w:lang w:val="en-GB"/>
        </w:rPr>
        <w:t xml:space="preserve">, several EN-DC combinations consider LTE as CA, e.g., </w:t>
      </w:r>
      <w:r w:rsidRPr="00D84458">
        <w:rPr>
          <w:lang w:val="en-GB"/>
        </w:rPr>
        <w:t>DC_41D_n41A</w:t>
      </w:r>
      <w:r>
        <w:rPr>
          <w:lang w:val="en-GB"/>
        </w:rPr>
        <w:t xml:space="preserve"> and </w:t>
      </w:r>
      <w:r w:rsidRPr="00D84458">
        <w:rPr>
          <w:lang w:val="en-GB"/>
        </w:rPr>
        <w:t>DC_48D_n48A</w:t>
      </w:r>
      <w:r>
        <w:rPr>
          <w:lang w:val="en-GB"/>
        </w:rPr>
        <w:t xml:space="preserve"> are defined. We therefore want to consider aggregated LTE carriers at the selection of </w:t>
      </w:r>
      <w:r>
        <w:rPr>
          <w:lang w:val="en-GB"/>
        </w:rPr>
        <w:lastRenderedPageBreak/>
        <w:t>CBW combination in step 1.</w:t>
      </w:r>
    </w:p>
    <w:p w14:paraId="591C0D4C" w14:textId="30D5626D" w:rsidR="00713ACE" w:rsidRDefault="00713ACE" w:rsidP="005A7AA0">
      <w:pPr>
        <w:rPr>
          <w:lang w:val="en-GB"/>
        </w:rPr>
      </w:pPr>
    </w:p>
    <w:p w14:paraId="7ED6075A" w14:textId="31009B92" w:rsidR="006D637D" w:rsidRDefault="006D637D" w:rsidP="006D637D">
      <w:pPr>
        <w:pStyle w:val="Caption"/>
        <w:rPr>
          <w:lang w:val="en-GB"/>
        </w:rPr>
      </w:pPr>
      <w:bookmarkStart w:id="8" w:name="_Ref54101181"/>
      <w:r>
        <w:t xml:space="preserve">Table </w:t>
      </w:r>
      <w:r w:rsidR="004A043F">
        <w:fldChar w:fldCharType="begin"/>
      </w:r>
      <w:r w:rsidR="004A043F">
        <w:instrText xml:space="preserve"> SEQ Table \* ARABIC </w:instrText>
      </w:r>
      <w:r w:rsidR="004A043F">
        <w:fldChar w:fldCharType="separate"/>
      </w:r>
      <w:r>
        <w:rPr>
          <w:noProof/>
        </w:rPr>
        <w:t>3</w:t>
      </w:r>
      <w:r w:rsidR="004A043F">
        <w:rPr>
          <w:noProof/>
        </w:rPr>
        <w:fldChar w:fldCharType="end"/>
      </w:r>
      <w:bookmarkEnd w:id="8"/>
      <w:r>
        <w:tab/>
        <w:t xml:space="preserve">Summary of different options for CBW combination selection. </w:t>
      </w:r>
    </w:p>
    <w:tbl>
      <w:tblPr>
        <w:tblStyle w:val="TableGrid"/>
        <w:tblW w:w="0" w:type="auto"/>
        <w:tblLook w:val="04A0" w:firstRow="1" w:lastRow="0" w:firstColumn="1" w:lastColumn="0" w:noHBand="0" w:noVBand="1"/>
      </w:tblPr>
      <w:tblGrid>
        <w:gridCol w:w="1838"/>
        <w:gridCol w:w="7791"/>
      </w:tblGrid>
      <w:tr w:rsidR="00513B0E" w14:paraId="25A98FC2" w14:textId="77777777" w:rsidTr="00513B0E">
        <w:tc>
          <w:tcPr>
            <w:tcW w:w="1838" w:type="dxa"/>
          </w:tcPr>
          <w:p w14:paraId="71F6A9E4" w14:textId="20E1DF14" w:rsidR="00513B0E" w:rsidRDefault="001D7C4B" w:rsidP="005A7AA0">
            <w:pPr>
              <w:rPr>
                <w:lang w:val="en-GB"/>
              </w:rPr>
            </w:pPr>
            <w:r>
              <w:rPr>
                <w:lang w:val="en-GB"/>
              </w:rPr>
              <w:t xml:space="preserve">Option </w:t>
            </w:r>
            <w:r w:rsidR="001118B0">
              <w:rPr>
                <w:lang w:val="en-GB"/>
              </w:rPr>
              <w:t>1</w:t>
            </w:r>
          </w:p>
        </w:tc>
        <w:tc>
          <w:tcPr>
            <w:tcW w:w="7791" w:type="dxa"/>
          </w:tcPr>
          <w:p w14:paraId="22598157" w14:textId="27CEC798" w:rsidR="00035ED2" w:rsidRPr="002004FA" w:rsidRDefault="00035ED2" w:rsidP="00035ED2">
            <w:pPr>
              <w:pStyle w:val="ListParagraph"/>
              <w:numPr>
                <w:ilvl w:val="0"/>
                <w:numId w:val="20"/>
              </w:numPr>
              <w:rPr>
                <w:lang w:val="en-GB"/>
              </w:rPr>
            </w:pPr>
            <w:r w:rsidRPr="002004FA">
              <w:rPr>
                <w:lang w:val="en-GB"/>
              </w:rPr>
              <w:t>Step 1: Select the CBW combinations with smallest CBW difference between the two carriers.</w:t>
            </w:r>
          </w:p>
          <w:p w14:paraId="1EE0805F" w14:textId="5EC3B08F" w:rsidR="00035ED2" w:rsidRPr="002004FA" w:rsidRDefault="00035ED2" w:rsidP="00035ED2">
            <w:pPr>
              <w:pStyle w:val="ListParagraph"/>
              <w:numPr>
                <w:ilvl w:val="0"/>
                <w:numId w:val="20"/>
              </w:numPr>
              <w:rPr>
                <w:lang w:val="en-GB"/>
              </w:rPr>
            </w:pPr>
            <w:r w:rsidRPr="002004FA">
              <w:rPr>
                <w:lang w:val="en-GB"/>
              </w:rPr>
              <w:t>Step 2: Among the CBW combinations selected from step 1, select the CBW combinations where the NR carrier has smaller CBW than the LTE carrier</w:t>
            </w:r>
          </w:p>
        </w:tc>
      </w:tr>
      <w:tr w:rsidR="00513B0E" w14:paraId="11E5E998" w14:textId="77777777" w:rsidTr="002004FA">
        <w:tc>
          <w:tcPr>
            <w:tcW w:w="1838" w:type="dxa"/>
          </w:tcPr>
          <w:p w14:paraId="74FCD7BF" w14:textId="6C8B9CF0" w:rsidR="00513B0E" w:rsidRDefault="001D7C4B" w:rsidP="005A7AA0">
            <w:pPr>
              <w:rPr>
                <w:lang w:val="en-GB"/>
              </w:rPr>
            </w:pPr>
            <w:r>
              <w:rPr>
                <w:lang w:val="en-GB"/>
              </w:rPr>
              <w:t xml:space="preserve">Option </w:t>
            </w:r>
            <w:r w:rsidR="001118B0">
              <w:rPr>
                <w:lang w:val="en-GB"/>
              </w:rPr>
              <w:t>2</w:t>
            </w:r>
          </w:p>
        </w:tc>
        <w:tc>
          <w:tcPr>
            <w:tcW w:w="7791" w:type="dxa"/>
            <w:shd w:val="clear" w:color="auto" w:fill="auto"/>
          </w:tcPr>
          <w:p w14:paraId="6FE73A26" w14:textId="77777777" w:rsidR="001D7C4B" w:rsidRPr="002004FA" w:rsidRDefault="001D7C4B" w:rsidP="001D7C4B">
            <w:pPr>
              <w:pStyle w:val="ListParagraph"/>
              <w:numPr>
                <w:ilvl w:val="0"/>
                <w:numId w:val="20"/>
              </w:numPr>
              <w:rPr>
                <w:lang w:val="en-GB"/>
              </w:rPr>
            </w:pPr>
            <w:r w:rsidRPr="002004FA">
              <w:rPr>
                <w:lang w:val="en-GB"/>
              </w:rPr>
              <w:t xml:space="preserve">Select the CBW combinations with smallest CBW difference between the two carriers. </w:t>
            </w:r>
          </w:p>
          <w:p w14:paraId="344D2BC7" w14:textId="77777777" w:rsidR="001D7C4B" w:rsidRPr="002004FA" w:rsidRDefault="001D7C4B" w:rsidP="001D7C4B">
            <w:pPr>
              <w:pStyle w:val="ListParagraph"/>
              <w:numPr>
                <w:ilvl w:val="1"/>
                <w:numId w:val="20"/>
              </w:numPr>
              <w:rPr>
                <w:lang w:val="en-GB"/>
              </w:rPr>
            </w:pPr>
            <w:r w:rsidRPr="002004FA">
              <w:rPr>
                <w:lang w:val="en-GB"/>
              </w:rPr>
              <w:t>If frequency range of NR carrier is higher than LTE carrier, then the test RBs will be allocated on the highest part of NR carrier.</w:t>
            </w:r>
          </w:p>
          <w:p w14:paraId="22EDA529" w14:textId="74585668" w:rsidR="00513B0E" w:rsidRPr="002004FA" w:rsidRDefault="001D7C4B" w:rsidP="005A7AA0">
            <w:pPr>
              <w:pStyle w:val="ListParagraph"/>
              <w:numPr>
                <w:ilvl w:val="1"/>
                <w:numId w:val="20"/>
              </w:numPr>
              <w:rPr>
                <w:lang w:val="en-GB"/>
              </w:rPr>
            </w:pPr>
            <w:r w:rsidRPr="002004FA">
              <w:rPr>
                <w:lang w:val="en-GB"/>
              </w:rPr>
              <w:t>If frequency range of NR carrier is lower than LTE carrier, then the test RBs will be allocated on the lowest part of NR carrier.</w:t>
            </w:r>
          </w:p>
        </w:tc>
      </w:tr>
      <w:tr w:rsidR="00513B0E" w14:paraId="2C7819A6" w14:textId="77777777" w:rsidTr="00513B0E">
        <w:tc>
          <w:tcPr>
            <w:tcW w:w="1838" w:type="dxa"/>
          </w:tcPr>
          <w:p w14:paraId="3C3F1B93" w14:textId="220FF1EB" w:rsidR="00513B0E" w:rsidRDefault="001D7C4B" w:rsidP="005A7AA0">
            <w:pPr>
              <w:rPr>
                <w:lang w:val="en-GB"/>
              </w:rPr>
            </w:pPr>
            <w:r>
              <w:rPr>
                <w:lang w:val="en-GB"/>
              </w:rPr>
              <w:t xml:space="preserve">Option </w:t>
            </w:r>
            <w:r w:rsidR="001118B0">
              <w:rPr>
                <w:lang w:val="en-GB"/>
              </w:rPr>
              <w:t>3</w:t>
            </w:r>
          </w:p>
        </w:tc>
        <w:tc>
          <w:tcPr>
            <w:tcW w:w="7791" w:type="dxa"/>
          </w:tcPr>
          <w:p w14:paraId="34EA34DB" w14:textId="77777777" w:rsidR="007031CE" w:rsidRPr="002004FA" w:rsidRDefault="007031CE" w:rsidP="007031CE">
            <w:pPr>
              <w:pStyle w:val="ListParagraph"/>
              <w:numPr>
                <w:ilvl w:val="0"/>
                <w:numId w:val="20"/>
              </w:numPr>
              <w:rPr>
                <w:lang w:val="en-GB"/>
              </w:rPr>
            </w:pPr>
            <w:r w:rsidRPr="002004FA">
              <w:rPr>
                <w:lang w:val="en-GB"/>
              </w:rPr>
              <w:t>Step 1a: Select the CBW combinations that the BW of NR carrier is smaller than the BW of LTE carrier</w:t>
            </w:r>
          </w:p>
          <w:p w14:paraId="5C11A873" w14:textId="535DAFA9" w:rsidR="00513B0E" w:rsidRPr="002004FA" w:rsidRDefault="007031CE" w:rsidP="007031CE">
            <w:pPr>
              <w:pStyle w:val="ListParagraph"/>
              <w:numPr>
                <w:ilvl w:val="0"/>
                <w:numId w:val="20"/>
              </w:numPr>
              <w:rPr>
                <w:lang w:val="en-GB"/>
              </w:rPr>
            </w:pPr>
            <w:r w:rsidRPr="002004FA">
              <w:rPr>
                <w:lang w:val="en-GB"/>
              </w:rPr>
              <w:t>Step 1b: Among the CBW combinations selected from Step 1a, select the CBW combinations with the smallest CBW difference between the two carriers</w:t>
            </w:r>
          </w:p>
        </w:tc>
      </w:tr>
      <w:tr w:rsidR="00513B0E" w14:paraId="2E16A4F1" w14:textId="77777777" w:rsidTr="00513B0E">
        <w:tc>
          <w:tcPr>
            <w:tcW w:w="1838" w:type="dxa"/>
          </w:tcPr>
          <w:p w14:paraId="167CAEED" w14:textId="0CCDEB48" w:rsidR="00EC7276" w:rsidRDefault="001D7C4B" w:rsidP="005A7AA0">
            <w:pPr>
              <w:rPr>
                <w:lang w:val="en-GB"/>
              </w:rPr>
            </w:pPr>
            <w:r>
              <w:rPr>
                <w:lang w:val="en-GB"/>
              </w:rPr>
              <w:t xml:space="preserve">Option </w:t>
            </w:r>
            <w:r w:rsidR="001118B0">
              <w:rPr>
                <w:lang w:val="en-GB"/>
              </w:rPr>
              <w:t>4</w:t>
            </w:r>
          </w:p>
        </w:tc>
        <w:tc>
          <w:tcPr>
            <w:tcW w:w="7791" w:type="dxa"/>
          </w:tcPr>
          <w:p w14:paraId="19284EB5" w14:textId="77777777" w:rsidR="007031CE" w:rsidRPr="002004FA" w:rsidRDefault="007031CE" w:rsidP="007031CE">
            <w:pPr>
              <w:pStyle w:val="ListParagraph"/>
              <w:numPr>
                <w:ilvl w:val="0"/>
                <w:numId w:val="24"/>
              </w:numPr>
              <w:rPr>
                <w:lang w:val="en-GB"/>
              </w:rPr>
            </w:pPr>
            <w:r w:rsidRPr="002004FA">
              <w:rPr>
                <w:lang w:val="en-GB"/>
              </w:rPr>
              <w:t>Step 1a: Select the CBW combinations that the BW of NR carrier is smaller than the (aggregated) BW of LTE carrier(s). If there is no such CBW combination, go to Step 1c.</w:t>
            </w:r>
          </w:p>
          <w:p w14:paraId="3A603944" w14:textId="77777777" w:rsidR="007031CE" w:rsidRPr="002004FA" w:rsidRDefault="007031CE" w:rsidP="007031CE">
            <w:pPr>
              <w:pStyle w:val="ListParagraph"/>
              <w:numPr>
                <w:ilvl w:val="0"/>
                <w:numId w:val="24"/>
              </w:numPr>
              <w:rPr>
                <w:lang w:val="en-GB"/>
              </w:rPr>
            </w:pPr>
            <w:r w:rsidRPr="002004FA">
              <w:rPr>
                <w:lang w:val="en-GB"/>
              </w:rPr>
              <w:t>Step 1b: Among the CBW combinations selected from Step 1a, select the CBW combinations with the smallest CBW difference between NR carrier and LTE carrier(s)</w:t>
            </w:r>
          </w:p>
          <w:p w14:paraId="484F87B9" w14:textId="1881B26F" w:rsidR="00513B0E" w:rsidRPr="002004FA" w:rsidRDefault="007031CE" w:rsidP="007031CE">
            <w:pPr>
              <w:pStyle w:val="ListParagraph"/>
              <w:numPr>
                <w:ilvl w:val="0"/>
                <w:numId w:val="24"/>
              </w:numPr>
              <w:rPr>
                <w:lang w:val="en-GB"/>
              </w:rPr>
            </w:pPr>
            <w:r w:rsidRPr="002004FA">
              <w:rPr>
                <w:lang w:val="en-GB"/>
              </w:rPr>
              <w:t>Step 1c: select the EN-DC combinations with smallest CBW difference between the NR carrier and LTE carrier(s).</w:t>
            </w:r>
          </w:p>
        </w:tc>
      </w:tr>
    </w:tbl>
    <w:p w14:paraId="769127C1" w14:textId="052DCA91" w:rsidR="00513B0E" w:rsidRDefault="00513B0E" w:rsidP="005A7AA0">
      <w:pPr>
        <w:rPr>
          <w:lang w:val="en-GB"/>
        </w:rPr>
      </w:pPr>
    </w:p>
    <w:p w14:paraId="299533B8" w14:textId="73DC8121" w:rsidR="00392DC2" w:rsidRDefault="00DD589F" w:rsidP="005A7AA0">
      <w:pPr>
        <w:rPr>
          <w:lang w:val="en-GB"/>
        </w:rPr>
      </w:pPr>
      <w:r>
        <w:rPr>
          <w:lang w:val="en-GB"/>
        </w:rPr>
        <w:fldChar w:fldCharType="begin"/>
      </w:r>
      <w:r>
        <w:rPr>
          <w:lang w:val="en-GB"/>
        </w:rPr>
        <w:instrText xml:space="preserve"> REF _Ref54101181 \h </w:instrText>
      </w:r>
      <w:r>
        <w:rPr>
          <w:lang w:val="en-GB"/>
        </w:rPr>
      </w:r>
      <w:r>
        <w:rPr>
          <w:lang w:val="en-GB"/>
        </w:rPr>
        <w:fldChar w:fldCharType="separate"/>
      </w:r>
      <w:r>
        <w:t xml:space="preserve">Table </w:t>
      </w:r>
      <w:r>
        <w:rPr>
          <w:noProof/>
        </w:rPr>
        <w:t>3</w:t>
      </w:r>
      <w:r>
        <w:rPr>
          <w:lang w:val="en-GB"/>
        </w:rPr>
        <w:fldChar w:fldCharType="end"/>
      </w:r>
      <w:r>
        <w:rPr>
          <w:lang w:val="en-GB"/>
        </w:rPr>
        <w:t xml:space="preserve"> </w:t>
      </w:r>
      <w:r w:rsidR="006D637D">
        <w:rPr>
          <w:lang w:val="en-GB"/>
        </w:rPr>
        <w:t xml:space="preserve">summarizes the difference in 4 options. </w:t>
      </w:r>
      <w:r>
        <w:rPr>
          <w:lang w:val="en-GB"/>
        </w:rPr>
        <w:t>As it is observed,</w:t>
      </w:r>
      <w:r w:rsidR="006D637D">
        <w:rPr>
          <w:lang w:val="en-GB"/>
        </w:rPr>
        <w:t xml:space="preserve"> the difference is the </w:t>
      </w:r>
      <w:r w:rsidR="00CD1804">
        <w:rPr>
          <w:lang w:val="en-GB"/>
        </w:rPr>
        <w:t>procedure</w:t>
      </w:r>
      <w:r w:rsidR="006D637D">
        <w:rPr>
          <w:lang w:val="en-GB"/>
        </w:rPr>
        <w:t xml:space="preserve"> i</w:t>
      </w:r>
      <w:r w:rsidR="006D637D" w:rsidRPr="00701EB3">
        <w:rPr>
          <w:lang w:val="en-GB"/>
        </w:rPr>
        <w:t>f</w:t>
      </w:r>
      <w:r w:rsidR="006D637D">
        <w:rPr>
          <w:lang w:val="en-GB"/>
        </w:rPr>
        <w:t xml:space="preserve"> there is </w:t>
      </w:r>
      <w:r w:rsidR="00CD1804">
        <w:rPr>
          <w:lang w:val="en-GB"/>
        </w:rPr>
        <w:t>no</w:t>
      </w:r>
      <w:r w:rsidR="00CD1804" w:rsidRPr="00A03F54">
        <w:rPr>
          <w:lang w:val="en-GB"/>
        </w:rPr>
        <w:t xml:space="preserve"> CBW combinations with the same BWs between LTE carrier and NR carrier</w:t>
      </w:r>
      <w:r w:rsidR="00732147">
        <w:rPr>
          <w:lang w:val="en-GB"/>
        </w:rPr>
        <w:t xml:space="preserve"> in step 1</w:t>
      </w:r>
      <w:r w:rsidR="00E14540">
        <w:rPr>
          <w:lang w:val="en-GB"/>
        </w:rPr>
        <w:t>.</w:t>
      </w:r>
      <w:r w:rsidR="006D637D">
        <w:rPr>
          <w:lang w:val="en-GB"/>
        </w:rPr>
        <w:t xml:space="preserve"> </w:t>
      </w:r>
      <w:r w:rsidR="00530B91">
        <w:rPr>
          <w:lang w:val="en-GB"/>
        </w:rPr>
        <w:t>S</w:t>
      </w:r>
      <w:r w:rsidR="007378D7">
        <w:rPr>
          <w:lang w:val="en-GB"/>
        </w:rPr>
        <w:t xml:space="preserve">ince the purpose is to </w:t>
      </w:r>
      <w:r w:rsidR="002C75D1">
        <w:rPr>
          <w:lang w:val="en-GB"/>
        </w:rPr>
        <w:t>verify</w:t>
      </w:r>
      <w:r w:rsidR="007378D7">
        <w:rPr>
          <w:lang w:val="en-GB"/>
        </w:rPr>
        <w:t xml:space="preserve"> </w:t>
      </w:r>
      <w:r w:rsidR="002C75D1">
        <w:rPr>
          <w:lang w:val="en-GB"/>
        </w:rPr>
        <w:t xml:space="preserve">the performance impact </w:t>
      </w:r>
      <w:r w:rsidR="007378D7">
        <w:rPr>
          <w:lang w:val="en-GB"/>
        </w:rPr>
        <w:t xml:space="preserve">due to the image </w:t>
      </w:r>
      <w:r w:rsidR="002C75D1">
        <w:rPr>
          <w:lang w:val="en-GB"/>
        </w:rPr>
        <w:t xml:space="preserve">of LTE carrier(s), it is observed </w:t>
      </w:r>
      <w:r w:rsidR="00866C17">
        <w:rPr>
          <w:lang w:val="en-GB"/>
        </w:rPr>
        <w:t xml:space="preserve">all the options basically </w:t>
      </w:r>
      <w:r w:rsidR="00392DC2">
        <w:rPr>
          <w:lang w:val="en-GB"/>
        </w:rPr>
        <w:t>propose</w:t>
      </w:r>
      <w:r w:rsidR="002E2970">
        <w:rPr>
          <w:lang w:val="en-GB"/>
        </w:rPr>
        <w:t>:</w:t>
      </w:r>
    </w:p>
    <w:p w14:paraId="1BDA756C" w14:textId="336B468F" w:rsidR="00035ED2" w:rsidRDefault="005D0E9A" w:rsidP="00392DC2">
      <w:pPr>
        <w:pStyle w:val="ListParagraph"/>
        <w:numPr>
          <w:ilvl w:val="0"/>
          <w:numId w:val="24"/>
        </w:numPr>
        <w:rPr>
          <w:lang w:val="en-GB"/>
        </w:rPr>
      </w:pPr>
      <w:r w:rsidRPr="005D0E9A">
        <w:rPr>
          <w:lang w:val="en-GB"/>
        </w:rPr>
        <w:t xml:space="preserve">Select the CBW combinations with smallest CBW difference between </w:t>
      </w:r>
      <w:r w:rsidR="00DF52BE">
        <w:rPr>
          <w:lang w:val="en-GB"/>
        </w:rPr>
        <w:t>N</w:t>
      </w:r>
      <w:r>
        <w:rPr>
          <w:lang w:val="en-GB"/>
        </w:rPr>
        <w:t>R carrier and LTE carrier(s)</w:t>
      </w:r>
    </w:p>
    <w:p w14:paraId="58DDF7E7" w14:textId="787D8244" w:rsidR="0036185B" w:rsidRDefault="002114BF" w:rsidP="005A7AA0">
      <w:pPr>
        <w:pStyle w:val="ListParagraph"/>
        <w:numPr>
          <w:ilvl w:val="0"/>
          <w:numId w:val="24"/>
        </w:numPr>
        <w:rPr>
          <w:lang w:val="en-GB"/>
        </w:rPr>
      </w:pPr>
      <w:r w:rsidRPr="002114BF">
        <w:rPr>
          <w:lang w:val="en-GB"/>
        </w:rPr>
        <w:t>Select the CBW combinations that the BW of NR carrier is smaller than the (aggregated) BW of LTE carrier(s).</w:t>
      </w:r>
    </w:p>
    <w:p w14:paraId="1C662DE4" w14:textId="01FD2571" w:rsidR="00F13966" w:rsidRDefault="0036185B" w:rsidP="005A7AA0">
      <w:pPr>
        <w:rPr>
          <w:lang w:val="en-GB"/>
        </w:rPr>
      </w:pPr>
      <w:r>
        <w:rPr>
          <w:lang w:val="en-GB"/>
        </w:rPr>
        <w:t xml:space="preserve">After selecting the CBW combinations, it is observed the all the options </w:t>
      </w:r>
      <w:r w:rsidR="00DF52BE">
        <w:rPr>
          <w:lang w:val="en-GB"/>
        </w:rPr>
        <w:t>do the same procedure</w:t>
      </w:r>
      <w:r>
        <w:rPr>
          <w:lang w:val="en-GB"/>
        </w:rPr>
        <w:t xml:space="preserve">: </w:t>
      </w:r>
      <w:r w:rsidR="004C1D08">
        <w:rPr>
          <w:lang w:val="en-GB"/>
        </w:rPr>
        <w:t>‘a</w:t>
      </w:r>
      <w:r w:rsidR="00362959" w:rsidRPr="00362959">
        <w:rPr>
          <w:lang w:val="en-GB"/>
        </w:rPr>
        <w:t>mong the CBW combinations selected from Step 1, select the EN-DC combination with the largest aggregated CBW</w:t>
      </w:r>
      <w:r w:rsidR="00362959">
        <w:rPr>
          <w:lang w:val="en-GB"/>
        </w:rPr>
        <w:t>.</w:t>
      </w:r>
      <w:r w:rsidR="004C1D08">
        <w:rPr>
          <w:lang w:val="en-GB"/>
        </w:rPr>
        <w:t>’</w:t>
      </w:r>
    </w:p>
    <w:p w14:paraId="40887358" w14:textId="2FE7F4DE" w:rsidR="00CC46E6" w:rsidRDefault="00356680" w:rsidP="005A7AA0">
      <w:pPr>
        <w:rPr>
          <w:lang w:val="en-GB"/>
        </w:rPr>
      </w:pPr>
      <w:r>
        <w:rPr>
          <w:lang w:val="en-GB"/>
        </w:rPr>
        <w:t>Based on our observation, we propose</w:t>
      </w:r>
      <w:r w:rsidR="003656C5">
        <w:rPr>
          <w:lang w:val="en-GB"/>
        </w:rPr>
        <w:t xml:space="preserve"> the following procedure to </w:t>
      </w:r>
      <w:r w:rsidR="00CC46E6">
        <w:rPr>
          <w:lang w:val="en-GB"/>
        </w:rPr>
        <w:t>select</w:t>
      </w:r>
      <w:r w:rsidR="003656C5">
        <w:rPr>
          <w:lang w:val="en-GB"/>
        </w:rPr>
        <w:t xml:space="preserve"> the CBW combination</w:t>
      </w:r>
      <w:r w:rsidR="001B5C1F">
        <w:rPr>
          <w:lang w:val="en-GB"/>
        </w:rPr>
        <w:t xml:space="preserve"> (close to option 4)</w:t>
      </w:r>
      <w:r w:rsidR="00D821C4">
        <w:rPr>
          <w:lang w:val="en-GB"/>
        </w:rPr>
        <w:t>:</w:t>
      </w:r>
    </w:p>
    <w:p w14:paraId="500AFBC3" w14:textId="1320E605" w:rsidR="00CC46E6" w:rsidRDefault="00CC46E6" w:rsidP="005A7AA0">
      <w:pPr>
        <w:rPr>
          <w:b/>
          <w:bCs/>
          <w:lang w:val="en-GB"/>
        </w:rPr>
      </w:pPr>
      <w:r w:rsidRPr="00CC46E6">
        <w:rPr>
          <w:b/>
          <w:bCs/>
          <w:lang w:val="en-GB"/>
        </w:rPr>
        <w:t xml:space="preserve">Proposal </w:t>
      </w:r>
      <w:r w:rsidR="00875A18">
        <w:rPr>
          <w:b/>
          <w:bCs/>
          <w:lang w:val="en-GB"/>
        </w:rPr>
        <w:t>4</w:t>
      </w:r>
      <w:r w:rsidRPr="00CC46E6">
        <w:rPr>
          <w:b/>
          <w:bCs/>
          <w:lang w:val="en-GB"/>
        </w:rPr>
        <w:t xml:space="preserve">: Adopt the following procedure to select the CBW combination for intra-band non-contiguous </w:t>
      </w:r>
      <w:r w:rsidRPr="00CC46E6">
        <w:rPr>
          <w:b/>
          <w:bCs/>
          <w:lang w:val="en-GB"/>
        </w:rPr>
        <w:lastRenderedPageBreak/>
        <w:t>EN-DC power imbalance test.</w:t>
      </w:r>
    </w:p>
    <w:tbl>
      <w:tblPr>
        <w:tblStyle w:val="TableGrid"/>
        <w:tblW w:w="0" w:type="auto"/>
        <w:tblLook w:val="04A0" w:firstRow="1" w:lastRow="0" w:firstColumn="1" w:lastColumn="0" w:noHBand="0" w:noVBand="1"/>
      </w:tblPr>
      <w:tblGrid>
        <w:gridCol w:w="9629"/>
      </w:tblGrid>
      <w:tr w:rsidR="00D20CBA" w14:paraId="00A740BE" w14:textId="77777777" w:rsidTr="00D20CBA">
        <w:tc>
          <w:tcPr>
            <w:tcW w:w="9629" w:type="dxa"/>
          </w:tcPr>
          <w:p w14:paraId="5EA1C9CE" w14:textId="77777777" w:rsidR="00D20CBA" w:rsidRDefault="00D20CBA" w:rsidP="00D20CBA">
            <w:pPr>
              <w:rPr>
                <w:lang w:val="en-GB"/>
              </w:rPr>
            </w:pPr>
            <w:r w:rsidRPr="00A03F54">
              <w:rPr>
                <w:b/>
                <w:bCs/>
                <w:lang w:val="en-GB"/>
              </w:rPr>
              <w:t>Step 1:</w:t>
            </w:r>
            <w:r w:rsidRPr="00A03F54">
              <w:rPr>
                <w:lang w:val="en-GB"/>
              </w:rPr>
              <w:t xml:space="preserve"> First select the CBW combinations with the same BWs between LTE carrier (single carrier or aggregated contiguous carriers) and NR carrier. If there is no such CBW combination</w:t>
            </w:r>
            <w:r>
              <w:rPr>
                <w:lang w:val="en-GB"/>
              </w:rPr>
              <w:t>, go to step 1-1. Otherwise go to step 2.</w:t>
            </w:r>
          </w:p>
          <w:p w14:paraId="7FC7D0DA" w14:textId="77777777" w:rsidR="00D20CBA" w:rsidRDefault="00D20CBA" w:rsidP="00D20CBA">
            <w:pPr>
              <w:rPr>
                <w:lang w:val="en-GB"/>
              </w:rPr>
            </w:pPr>
            <w:r w:rsidRPr="003655F2">
              <w:rPr>
                <w:b/>
                <w:bCs/>
                <w:lang w:val="en-GB"/>
              </w:rPr>
              <w:t>Step 1-1</w:t>
            </w:r>
            <w:r>
              <w:rPr>
                <w:lang w:val="en-GB"/>
              </w:rPr>
              <w:t xml:space="preserve">: </w:t>
            </w:r>
            <w:r w:rsidRPr="00D968F8">
              <w:rPr>
                <w:lang w:val="en-GB"/>
              </w:rPr>
              <w:t xml:space="preserve">Select the CBW combinations that the BW of NR carrier is smaller than the BW of </w:t>
            </w:r>
            <w:r>
              <w:rPr>
                <w:lang w:val="en-GB"/>
              </w:rPr>
              <w:t xml:space="preserve">(aggregated) </w:t>
            </w:r>
            <w:r w:rsidRPr="00D968F8">
              <w:rPr>
                <w:lang w:val="en-GB"/>
              </w:rPr>
              <w:t>LTE carrier</w:t>
            </w:r>
            <w:r>
              <w:rPr>
                <w:lang w:val="en-GB"/>
              </w:rPr>
              <w:t>(s). Go to step 1-2 if the CBW combination found. If no such a combination, go to step 1-3.</w:t>
            </w:r>
          </w:p>
          <w:p w14:paraId="2FA4466A" w14:textId="77777777" w:rsidR="00D20CBA" w:rsidRDefault="00D20CBA" w:rsidP="00D20CBA">
            <w:pPr>
              <w:rPr>
                <w:lang w:val="en-GB"/>
              </w:rPr>
            </w:pPr>
            <w:r w:rsidRPr="003655F2">
              <w:rPr>
                <w:b/>
                <w:bCs/>
                <w:lang w:val="en-GB"/>
              </w:rPr>
              <w:t>Step 1-2</w:t>
            </w:r>
            <w:r>
              <w:rPr>
                <w:lang w:val="en-GB"/>
              </w:rPr>
              <w:t xml:space="preserve">: </w:t>
            </w:r>
            <w:r w:rsidRPr="004F453C">
              <w:rPr>
                <w:lang w:val="en-GB"/>
              </w:rPr>
              <w:t>Among the CBW combinations selected from Step 1</w:t>
            </w:r>
            <w:r>
              <w:rPr>
                <w:lang w:val="en-GB"/>
              </w:rPr>
              <w:t>-1</w:t>
            </w:r>
            <w:r w:rsidRPr="004F453C">
              <w:rPr>
                <w:lang w:val="en-GB"/>
              </w:rPr>
              <w:t xml:space="preserve">, select the CBW combinations with the smallest CBW difference between NR carrier and </w:t>
            </w:r>
            <w:r>
              <w:rPr>
                <w:lang w:val="en-GB"/>
              </w:rPr>
              <w:t xml:space="preserve">(aggregated) </w:t>
            </w:r>
            <w:r w:rsidRPr="004F453C">
              <w:rPr>
                <w:lang w:val="en-GB"/>
              </w:rPr>
              <w:t>LTE carrier(s)</w:t>
            </w:r>
            <w:r>
              <w:rPr>
                <w:lang w:val="en-GB"/>
              </w:rPr>
              <w:t xml:space="preserve">. Go to step 2. </w:t>
            </w:r>
          </w:p>
          <w:p w14:paraId="4C2E16DD" w14:textId="77777777" w:rsidR="00D20CBA" w:rsidRDefault="00D20CBA" w:rsidP="00D20CBA">
            <w:pPr>
              <w:rPr>
                <w:lang w:val="en-GB"/>
              </w:rPr>
            </w:pPr>
            <w:r w:rsidRPr="000318C2">
              <w:rPr>
                <w:b/>
                <w:bCs/>
                <w:lang w:val="en-GB"/>
              </w:rPr>
              <w:t>Step 1-3</w:t>
            </w:r>
            <w:r>
              <w:rPr>
                <w:lang w:val="en-GB"/>
              </w:rPr>
              <w:t>: S</w:t>
            </w:r>
            <w:r w:rsidRPr="003655F2">
              <w:rPr>
                <w:lang w:val="en-GB"/>
              </w:rPr>
              <w:t xml:space="preserve">elect the EN-DC combinations with smallest CBW difference between the NR carrier and </w:t>
            </w:r>
            <w:r>
              <w:rPr>
                <w:lang w:val="en-GB"/>
              </w:rPr>
              <w:t xml:space="preserve">(aggregated) </w:t>
            </w:r>
            <w:r w:rsidRPr="003655F2">
              <w:rPr>
                <w:lang w:val="en-GB"/>
              </w:rPr>
              <w:t>LTE carrier(s).</w:t>
            </w:r>
            <w:r>
              <w:rPr>
                <w:lang w:val="en-GB"/>
              </w:rPr>
              <w:t xml:space="preserve"> Go to step 2.</w:t>
            </w:r>
          </w:p>
          <w:p w14:paraId="3128ADFB" w14:textId="7953F46A" w:rsidR="00D20CBA" w:rsidRPr="00D20CBA" w:rsidRDefault="00D20CBA" w:rsidP="005A7AA0">
            <w:pPr>
              <w:rPr>
                <w:lang w:val="en-GB"/>
              </w:rPr>
            </w:pPr>
            <w:r w:rsidRPr="00E9769E">
              <w:rPr>
                <w:b/>
                <w:bCs/>
                <w:lang w:val="en-GB"/>
              </w:rPr>
              <w:t>Step 2:</w:t>
            </w:r>
            <w:r>
              <w:rPr>
                <w:lang w:val="en-GB"/>
              </w:rPr>
              <w:t xml:space="preserve"> </w:t>
            </w:r>
            <w:r w:rsidRPr="00362959">
              <w:rPr>
                <w:lang w:val="en-GB"/>
              </w:rPr>
              <w:t>Among the CBW combinations selected from Step 1, select the EN-DC combination with the largest aggregated CBW</w:t>
            </w:r>
            <w:r>
              <w:rPr>
                <w:lang w:val="en-GB"/>
              </w:rPr>
              <w:t>.</w:t>
            </w:r>
          </w:p>
        </w:tc>
      </w:tr>
    </w:tbl>
    <w:p w14:paraId="7DDA26DF" w14:textId="77777777" w:rsidR="00D20CBA" w:rsidRPr="00CC46E6" w:rsidRDefault="00D20CBA" w:rsidP="005A7AA0">
      <w:pPr>
        <w:rPr>
          <w:b/>
          <w:bCs/>
          <w:lang w:val="en-GB"/>
        </w:rPr>
      </w:pPr>
    </w:p>
    <w:p w14:paraId="265C69F0" w14:textId="3BC97BCA" w:rsidR="00517E4D" w:rsidRDefault="00634523" w:rsidP="00634523">
      <w:pPr>
        <w:pStyle w:val="Heading3"/>
      </w:pPr>
      <w:r>
        <w:t>2.3.2</w:t>
      </w:r>
      <w:r>
        <w:tab/>
        <w:t>PRB allocation</w:t>
      </w:r>
    </w:p>
    <w:p w14:paraId="7BE5E669" w14:textId="2A1DEB6F" w:rsidR="00086EC2" w:rsidRDefault="001C28D6" w:rsidP="00806F32">
      <w:pPr>
        <w:rPr>
          <w:lang w:val="en-GB"/>
        </w:rPr>
      </w:pPr>
      <w:r>
        <w:rPr>
          <w:lang w:val="en-GB"/>
        </w:rPr>
        <w:t xml:space="preserve">Since the purpose of </w:t>
      </w:r>
      <w:r w:rsidR="00FA5733">
        <w:rPr>
          <w:lang w:val="en-GB"/>
        </w:rPr>
        <w:t>power imbalance</w:t>
      </w:r>
      <w:r>
        <w:rPr>
          <w:lang w:val="en-GB"/>
        </w:rPr>
        <w:t xml:space="preserve"> test </w:t>
      </w:r>
      <w:r w:rsidR="00FA5733">
        <w:rPr>
          <w:lang w:val="en-GB"/>
        </w:rPr>
        <w:t xml:space="preserve">in EN-DC </w:t>
      </w:r>
      <w:r>
        <w:rPr>
          <w:lang w:val="en-GB"/>
        </w:rPr>
        <w:t xml:space="preserve">is to verify the </w:t>
      </w:r>
      <w:r w:rsidR="00F05A4E">
        <w:rPr>
          <w:lang w:val="en-GB"/>
        </w:rPr>
        <w:t xml:space="preserve">NR </w:t>
      </w:r>
      <w:r>
        <w:rPr>
          <w:lang w:val="en-GB"/>
        </w:rPr>
        <w:t>PDSCH performance considering the image of LTE carrier(s),</w:t>
      </w:r>
      <w:r w:rsidR="003507DA">
        <w:rPr>
          <w:lang w:val="en-GB"/>
        </w:rPr>
        <w:t xml:space="preserve"> in case the CBW of aggregated LTE carrier(s)</w:t>
      </w:r>
      <w:r w:rsidR="00AF2677">
        <w:rPr>
          <w:lang w:val="en-GB"/>
        </w:rPr>
        <w:t xml:space="preserve"> is</w:t>
      </w:r>
      <w:r w:rsidR="003507DA">
        <w:rPr>
          <w:lang w:val="en-GB"/>
        </w:rPr>
        <w:t xml:space="preserve"> </w:t>
      </w:r>
      <w:r w:rsidR="00016643" w:rsidRPr="00016643">
        <w:rPr>
          <w:u w:val="single"/>
          <w:lang w:val="en-GB"/>
        </w:rPr>
        <w:t>smaller</w:t>
      </w:r>
      <w:r w:rsidR="003507DA">
        <w:rPr>
          <w:lang w:val="en-GB"/>
        </w:rPr>
        <w:t xml:space="preserve"> than </w:t>
      </w:r>
      <w:r w:rsidR="00016643">
        <w:rPr>
          <w:lang w:val="en-GB"/>
        </w:rPr>
        <w:t xml:space="preserve">the CBW of </w:t>
      </w:r>
      <w:r w:rsidR="003507DA">
        <w:rPr>
          <w:lang w:val="en-GB"/>
        </w:rPr>
        <w:t>NR carrier</w:t>
      </w:r>
      <w:r w:rsidR="00016643">
        <w:rPr>
          <w:lang w:val="en-GB"/>
        </w:rPr>
        <w:t>, some PRB</w:t>
      </w:r>
      <w:r w:rsidR="004242DC">
        <w:rPr>
          <w:lang w:val="en-GB"/>
        </w:rPr>
        <w:t>s</w:t>
      </w:r>
      <w:r w:rsidR="00016643">
        <w:rPr>
          <w:lang w:val="en-GB"/>
        </w:rPr>
        <w:t xml:space="preserve"> in NR PDSCH is not interfered by the image of LTE carrier(s).</w:t>
      </w:r>
      <w:r w:rsidR="00AF2677">
        <w:rPr>
          <w:lang w:val="en-GB"/>
        </w:rPr>
        <w:t xml:space="preserve"> </w:t>
      </w:r>
      <w:r w:rsidR="000F1F3D">
        <w:rPr>
          <w:lang w:val="en-GB"/>
        </w:rPr>
        <w:t xml:space="preserve">In our proposal of </w:t>
      </w:r>
      <w:r w:rsidR="00806F06">
        <w:rPr>
          <w:lang w:val="en-GB"/>
        </w:rPr>
        <w:t>CBW combination selection procedure</w:t>
      </w:r>
      <w:r w:rsidR="000F1F3D">
        <w:rPr>
          <w:lang w:val="en-GB"/>
        </w:rPr>
        <w:t xml:space="preserve">, </w:t>
      </w:r>
      <w:r w:rsidR="00806F06">
        <w:rPr>
          <w:lang w:val="en-GB"/>
        </w:rPr>
        <w:t xml:space="preserve">NR carrier BW is </w:t>
      </w:r>
      <w:r w:rsidR="000F1F3D">
        <w:rPr>
          <w:lang w:val="en-GB"/>
        </w:rPr>
        <w:t xml:space="preserve">configured so that it is </w:t>
      </w:r>
      <w:r w:rsidR="00806F06">
        <w:rPr>
          <w:lang w:val="en-GB"/>
        </w:rPr>
        <w:t>equal or smaller than (aggregated) LTE carrier BW</w:t>
      </w:r>
      <w:r w:rsidR="000F1F3D">
        <w:rPr>
          <w:lang w:val="en-GB"/>
        </w:rPr>
        <w:t xml:space="preserve">. With this procedure, </w:t>
      </w:r>
      <w:r w:rsidR="008B190B">
        <w:rPr>
          <w:lang w:val="en-GB"/>
        </w:rPr>
        <w:t xml:space="preserve">we think the CBW for NR PDSCH should be interfered by LTE carriers </w:t>
      </w:r>
      <w:r w:rsidR="00180D10">
        <w:rPr>
          <w:lang w:val="en-GB"/>
        </w:rPr>
        <w:t xml:space="preserve">in most cases. </w:t>
      </w:r>
      <w:r w:rsidR="00AF2677">
        <w:rPr>
          <w:lang w:val="en-GB"/>
        </w:rPr>
        <w:t>W</w:t>
      </w:r>
      <w:r w:rsidR="00086EC2">
        <w:rPr>
          <w:lang w:val="en-GB"/>
        </w:rPr>
        <w:t xml:space="preserve">e </w:t>
      </w:r>
      <w:r w:rsidR="00AF2677">
        <w:rPr>
          <w:lang w:val="en-GB"/>
        </w:rPr>
        <w:t>therefore</w:t>
      </w:r>
      <w:r w:rsidR="00086EC2">
        <w:rPr>
          <w:lang w:val="en-GB"/>
        </w:rPr>
        <w:t xml:space="preserve"> propose to consider the full PRB allocation</w:t>
      </w:r>
      <w:r w:rsidR="00AF2677">
        <w:rPr>
          <w:lang w:val="en-GB"/>
        </w:rPr>
        <w:t xml:space="preserve"> only. </w:t>
      </w:r>
      <w:r w:rsidR="00180D10">
        <w:rPr>
          <w:lang w:val="en-GB"/>
        </w:rPr>
        <w:t xml:space="preserve">This makes the </w:t>
      </w:r>
      <w:r w:rsidR="00AF2677">
        <w:rPr>
          <w:lang w:val="en-GB"/>
        </w:rPr>
        <w:t>FRC configuration</w:t>
      </w:r>
      <w:r w:rsidR="00180D10">
        <w:rPr>
          <w:lang w:val="en-GB"/>
        </w:rPr>
        <w:t xml:space="preserve"> simple</w:t>
      </w:r>
      <w:r w:rsidR="00AF2677">
        <w:rPr>
          <w:lang w:val="en-GB"/>
        </w:rPr>
        <w:t xml:space="preserve">. </w:t>
      </w:r>
    </w:p>
    <w:p w14:paraId="3B9ED50A" w14:textId="780B774D" w:rsidR="00806F32" w:rsidRPr="00086EC2" w:rsidRDefault="00086EC2" w:rsidP="00806F32">
      <w:pPr>
        <w:rPr>
          <w:b/>
          <w:bCs/>
          <w:lang w:val="en-GB"/>
        </w:rPr>
      </w:pPr>
      <w:r w:rsidRPr="00086EC2">
        <w:rPr>
          <w:b/>
          <w:bCs/>
          <w:lang w:val="en-GB"/>
        </w:rPr>
        <w:t xml:space="preserve">Proposal </w:t>
      </w:r>
      <w:r w:rsidR="00875A18">
        <w:rPr>
          <w:b/>
          <w:bCs/>
          <w:lang w:val="en-GB"/>
        </w:rPr>
        <w:t>5</w:t>
      </w:r>
      <w:r w:rsidRPr="00086EC2">
        <w:rPr>
          <w:b/>
          <w:bCs/>
          <w:lang w:val="en-GB"/>
        </w:rPr>
        <w:t>: Allocate full PRB for intra-band non-contiguous EN-DC power imbalanced test.</w:t>
      </w:r>
    </w:p>
    <w:p w14:paraId="638DF29A" w14:textId="56912AB1" w:rsidR="00634523" w:rsidRPr="00634523" w:rsidRDefault="00634523" w:rsidP="00634523">
      <w:pPr>
        <w:pStyle w:val="Heading3"/>
      </w:pPr>
      <w:r>
        <w:t>2.3.3</w:t>
      </w:r>
      <w:r>
        <w:tab/>
        <w:t>LO location</w:t>
      </w:r>
      <w:r w:rsidR="00D12884">
        <w:t xml:space="preserve"> and carrier location</w:t>
      </w:r>
    </w:p>
    <w:p w14:paraId="0ADBD585" w14:textId="591AAA70" w:rsidR="00682870" w:rsidRDefault="00BE1112" w:rsidP="005A7AA0">
      <w:pPr>
        <w:rPr>
          <w:lang w:val="en-GB"/>
        </w:rPr>
      </w:pPr>
      <w:r>
        <w:rPr>
          <w:lang w:val="en-GB"/>
        </w:rPr>
        <w:t xml:space="preserve">We think </w:t>
      </w:r>
      <w:r w:rsidR="00634523">
        <w:rPr>
          <w:lang w:val="en-GB"/>
        </w:rPr>
        <w:t xml:space="preserve">LO </w:t>
      </w:r>
      <w:r>
        <w:rPr>
          <w:lang w:val="en-GB"/>
        </w:rPr>
        <w:t>position</w:t>
      </w:r>
      <w:r w:rsidR="00634523">
        <w:rPr>
          <w:lang w:val="en-GB"/>
        </w:rPr>
        <w:t xml:space="preserve"> is up to UE </w:t>
      </w:r>
      <w:r>
        <w:rPr>
          <w:lang w:val="en-GB"/>
        </w:rPr>
        <w:t xml:space="preserve">RF </w:t>
      </w:r>
      <w:r w:rsidR="00634523">
        <w:rPr>
          <w:lang w:val="en-GB"/>
        </w:rPr>
        <w:t>implementation</w:t>
      </w:r>
      <w:r>
        <w:rPr>
          <w:lang w:val="en-GB"/>
        </w:rPr>
        <w:t>.</w:t>
      </w:r>
      <w:r w:rsidR="00C52EAF">
        <w:rPr>
          <w:lang w:val="en-GB"/>
        </w:rPr>
        <w:t xml:space="preserve"> Considering the single RF chain discussed in the beginning of intra-band non-contiguous EN-DC power imbalanced requirements</w:t>
      </w:r>
      <w:r w:rsidR="00F77067">
        <w:rPr>
          <w:lang w:val="en-GB"/>
        </w:rPr>
        <w:t xml:space="preserve"> discussion</w:t>
      </w:r>
      <w:r w:rsidR="00C52EAF">
        <w:rPr>
          <w:lang w:val="en-GB"/>
        </w:rPr>
        <w:t xml:space="preserve">, </w:t>
      </w:r>
      <w:r w:rsidR="00520F96">
        <w:rPr>
          <w:lang w:val="en-GB"/>
        </w:rPr>
        <w:t xml:space="preserve">it is reasonable to assume </w:t>
      </w:r>
      <w:r w:rsidR="00C52EAF">
        <w:rPr>
          <w:lang w:val="en-GB"/>
        </w:rPr>
        <w:t>the UE set</w:t>
      </w:r>
      <w:r w:rsidR="00520F96">
        <w:rPr>
          <w:lang w:val="en-GB"/>
        </w:rPr>
        <w:t>s</w:t>
      </w:r>
      <w:r w:rsidR="00C52EAF">
        <w:rPr>
          <w:lang w:val="en-GB"/>
        </w:rPr>
        <w:t xml:space="preserve"> the </w:t>
      </w:r>
      <w:r w:rsidR="00C52EAF" w:rsidRPr="00C52EAF">
        <w:rPr>
          <w:lang w:val="en-GB"/>
        </w:rPr>
        <w:t xml:space="preserve">LO </w:t>
      </w:r>
      <w:r w:rsidR="00C52EAF">
        <w:rPr>
          <w:lang w:val="en-GB"/>
        </w:rPr>
        <w:t xml:space="preserve">position </w:t>
      </w:r>
      <w:r w:rsidR="00C52EAF" w:rsidRPr="00C52EAF">
        <w:rPr>
          <w:lang w:val="en-GB"/>
        </w:rPr>
        <w:t xml:space="preserve">in </w:t>
      </w:r>
      <w:r w:rsidR="00C52EAF">
        <w:rPr>
          <w:lang w:val="en-GB"/>
        </w:rPr>
        <w:t xml:space="preserve">the </w:t>
      </w:r>
      <w:r w:rsidR="00C52EAF" w:rsidRPr="00C52EAF">
        <w:rPr>
          <w:lang w:val="en-GB"/>
        </w:rPr>
        <w:t>middle</w:t>
      </w:r>
      <w:r w:rsidR="00C52EAF">
        <w:rPr>
          <w:lang w:val="en-GB"/>
        </w:rPr>
        <w:t xml:space="preserve"> of LTE carrier and NR carrier.</w:t>
      </w:r>
    </w:p>
    <w:p w14:paraId="26287477" w14:textId="77777777" w:rsidR="009D2A7B" w:rsidRPr="00682870" w:rsidRDefault="009D2A7B" w:rsidP="009D2A7B">
      <w:pPr>
        <w:rPr>
          <w:b/>
          <w:bCs/>
          <w:lang w:val="en-GB"/>
        </w:rPr>
      </w:pPr>
      <w:r w:rsidRPr="00682870">
        <w:rPr>
          <w:b/>
          <w:bCs/>
          <w:lang w:val="en-GB"/>
        </w:rPr>
        <w:t>Proposal</w:t>
      </w:r>
      <w:r>
        <w:rPr>
          <w:b/>
          <w:bCs/>
          <w:lang w:val="en-GB"/>
        </w:rPr>
        <w:t xml:space="preserve"> 6</w:t>
      </w:r>
      <w:r w:rsidRPr="00682870">
        <w:rPr>
          <w:b/>
          <w:bCs/>
          <w:lang w:val="en-GB"/>
        </w:rPr>
        <w:t>: For intra-band non-contiguous EN-DC test with power imbalance, RAN4</w:t>
      </w:r>
      <w:r>
        <w:rPr>
          <w:b/>
          <w:bCs/>
          <w:lang w:val="en-GB"/>
        </w:rPr>
        <w:t xml:space="preserve"> demodulation requirements</w:t>
      </w:r>
      <w:r w:rsidRPr="00682870">
        <w:rPr>
          <w:b/>
          <w:bCs/>
          <w:lang w:val="en-GB"/>
        </w:rPr>
        <w:t xml:space="preserve"> assume LO is set in the middle of two carriers</w:t>
      </w:r>
      <w:r>
        <w:rPr>
          <w:b/>
          <w:bCs/>
          <w:lang w:val="en-GB"/>
        </w:rPr>
        <w:t>, but it is up to UE implementation.</w:t>
      </w:r>
    </w:p>
    <w:p w14:paraId="329E530F" w14:textId="27FAD683" w:rsidR="007B23E3" w:rsidRDefault="007B23E3" w:rsidP="005A7AA0">
      <w:pPr>
        <w:rPr>
          <w:lang w:val="en-GB"/>
        </w:rPr>
      </w:pPr>
    </w:p>
    <w:p w14:paraId="429FAC97" w14:textId="0D108DFF" w:rsidR="00F1284F" w:rsidRDefault="00F1284F" w:rsidP="00F1284F">
      <w:pPr>
        <w:pStyle w:val="Heading3"/>
      </w:pPr>
      <w:r>
        <w:t>2.3.</w:t>
      </w:r>
      <w:r w:rsidR="003A109C">
        <w:t>4</w:t>
      </w:r>
      <w:r>
        <w:tab/>
        <w:t>Applicability rule</w:t>
      </w:r>
    </w:p>
    <w:p w14:paraId="4F2415ED" w14:textId="3669F7F8" w:rsidR="00C802E8" w:rsidRPr="00C802E8" w:rsidRDefault="00C802E8" w:rsidP="00C802E8">
      <w:pPr>
        <w:rPr>
          <w:lang w:val="en-GB"/>
        </w:rPr>
      </w:pPr>
      <w:r>
        <w:rPr>
          <w:lang w:val="en-GB"/>
        </w:rPr>
        <w:t>The remaining open issue for applicability rule is whether RAN4 considers the UE capability ‘</w:t>
      </w:r>
      <w:r w:rsidRPr="009D6BBA">
        <w:rPr>
          <w:lang w:val="en-GB"/>
        </w:rPr>
        <w:t>interBandContiguousMRDC</w:t>
      </w:r>
      <w:r>
        <w:rPr>
          <w:lang w:val="en-GB"/>
        </w:rPr>
        <w:t>’ or not.</w:t>
      </w:r>
    </w:p>
    <w:tbl>
      <w:tblPr>
        <w:tblStyle w:val="TableGrid"/>
        <w:tblW w:w="0" w:type="auto"/>
        <w:tblLook w:val="04A0" w:firstRow="1" w:lastRow="0" w:firstColumn="1" w:lastColumn="0" w:noHBand="0" w:noVBand="1"/>
      </w:tblPr>
      <w:tblGrid>
        <w:gridCol w:w="9629"/>
      </w:tblGrid>
      <w:tr w:rsidR="00FF0719" w14:paraId="6ED3D6F0" w14:textId="77777777" w:rsidTr="00FF0719">
        <w:tc>
          <w:tcPr>
            <w:tcW w:w="9629" w:type="dxa"/>
          </w:tcPr>
          <w:p w14:paraId="0A567C22" w14:textId="0FBCEDEF" w:rsidR="00FF0719" w:rsidRDefault="00FF0719" w:rsidP="00FF0719">
            <w:pPr>
              <w:pStyle w:val="TAL"/>
            </w:pPr>
            <w:r>
              <w:lastRenderedPageBreak/>
              <w:t>Test applicability rules​</w:t>
            </w:r>
          </w:p>
          <w:p w14:paraId="6B910300" w14:textId="0F174248" w:rsidR="00FF0719" w:rsidRDefault="00FF0719" w:rsidP="00FF0719">
            <w:pPr>
              <w:pStyle w:val="TAL"/>
              <w:numPr>
                <w:ilvl w:val="0"/>
                <w:numId w:val="21"/>
              </w:numPr>
            </w:pPr>
            <w:r>
              <w:t>Option 1​</w:t>
            </w:r>
          </w:p>
          <w:p w14:paraId="1C81476B" w14:textId="77777777" w:rsidR="00FF0719" w:rsidRDefault="00FF0719" w:rsidP="009D3257">
            <w:pPr>
              <w:pStyle w:val="TAL"/>
              <w:numPr>
                <w:ilvl w:val="1"/>
                <w:numId w:val="21"/>
              </w:numPr>
            </w:pPr>
            <w:r>
              <w:t>UE supports only intra-band contiguous EN-DC, i,e., if UE does not indicate “intraBandENDC-Support”,  ​</w:t>
            </w:r>
          </w:p>
          <w:p w14:paraId="05F380C6" w14:textId="77777777" w:rsidR="00FF0719" w:rsidRDefault="00FF0719" w:rsidP="009D3257">
            <w:pPr>
              <w:pStyle w:val="TAL"/>
              <w:numPr>
                <w:ilvl w:val="2"/>
                <w:numId w:val="21"/>
              </w:numPr>
            </w:pPr>
            <w:r>
              <w:t>power imbalance requirement for intra-band contiguous EN-DC is applied​</w:t>
            </w:r>
          </w:p>
          <w:p w14:paraId="346194EE" w14:textId="659F0A56" w:rsidR="00FF0719" w:rsidRDefault="00FF0719" w:rsidP="009D3257">
            <w:pPr>
              <w:pStyle w:val="TAL"/>
              <w:numPr>
                <w:ilvl w:val="1"/>
                <w:numId w:val="21"/>
              </w:numPr>
            </w:pPr>
            <w:r>
              <w:t xml:space="preserve">UE supports only intra-band non-contiguous EN-DC, i.e., if UE indicates “non-contiguous” in “intraBandENDC-Support” or UE does not indicate “interBandContiguousMRDC”,  </w:t>
            </w:r>
          </w:p>
          <w:p w14:paraId="44687835" w14:textId="77777777" w:rsidR="00FF0719" w:rsidRDefault="00FF0719" w:rsidP="009D3257">
            <w:pPr>
              <w:pStyle w:val="TAL"/>
              <w:numPr>
                <w:ilvl w:val="2"/>
                <w:numId w:val="21"/>
              </w:numPr>
            </w:pPr>
            <w:r>
              <w:t>power imbalance requirement for intra-band non-contiguous EN-DC is applied​</w:t>
            </w:r>
          </w:p>
          <w:p w14:paraId="66C2FCDD" w14:textId="215C68D3" w:rsidR="00FF0719" w:rsidRDefault="00FF0719" w:rsidP="009D3257">
            <w:pPr>
              <w:pStyle w:val="TAL"/>
              <w:numPr>
                <w:ilvl w:val="1"/>
                <w:numId w:val="21"/>
              </w:numPr>
            </w:pPr>
            <w:r>
              <w:t xml:space="preserve">UE supports both intra-band contiguous and non-contiguous EN-DC, i.e., if UE indicates “both” in “intraBandENDC-Support” or UE indicates “interBandContiguousMRDC”,  </w:t>
            </w:r>
          </w:p>
          <w:p w14:paraId="760BC209" w14:textId="77777777" w:rsidR="00FF0719" w:rsidRDefault="00FF0719" w:rsidP="009D3257">
            <w:pPr>
              <w:pStyle w:val="TAL"/>
              <w:numPr>
                <w:ilvl w:val="2"/>
                <w:numId w:val="21"/>
              </w:numPr>
            </w:pPr>
            <w:r>
              <w:t>power imbalance requirement for FR1 intra-band contiguous EN-DC​</w:t>
            </w:r>
          </w:p>
          <w:p w14:paraId="6E29D1CC" w14:textId="32EA74F0" w:rsidR="00FF0719" w:rsidRDefault="00FF0719" w:rsidP="00FF0719">
            <w:pPr>
              <w:pStyle w:val="TAL"/>
              <w:numPr>
                <w:ilvl w:val="0"/>
                <w:numId w:val="21"/>
              </w:numPr>
            </w:pPr>
            <w:r>
              <w:t>Option 2 ​</w:t>
            </w:r>
          </w:p>
          <w:p w14:paraId="3C7C0BAD" w14:textId="4A85DFDD" w:rsidR="00FF0719" w:rsidRDefault="00FF0719" w:rsidP="009D3257">
            <w:pPr>
              <w:pStyle w:val="TAL"/>
              <w:numPr>
                <w:ilvl w:val="1"/>
                <w:numId w:val="21"/>
              </w:numPr>
            </w:pPr>
            <w:r>
              <w:t>UE supports only intra-band contiguous EN-DC, i,e., if UE does not indicate “intraBandENDC-Support”,  ​</w:t>
            </w:r>
          </w:p>
          <w:p w14:paraId="7E27F97F" w14:textId="17255C14" w:rsidR="00FF0719" w:rsidRDefault="00FF0719" w:rsidP="009D3257">
            <w:pPr>
              <w:pStyle w:val="TAL"/>
              <w:numPr>
                <w:ilvl w:val="2"/>
                <w:numId w:val="21"/>
              </w:numPr>
            </w:pPr>
            <w:r>
              <w:t>power imbalance requirement for intra-band contiguous EN-DC is applied​</w:t>
            </w:r>
          </w:p>
          <w:p w14:paraId="0E2A0419" w14:textId="328CFBA7" w:rsidR="00FF0719" w:rsidRDefault="00FF0719" w:rsidP="009D3257">
            <w:pPr>
              <w:pStyle w:val="TAL"/>
              <w:numPr>
                <w:ilvl w:val="1"/>
                <w:numId w:val="21"/>
              </w:numPr>
            </w:pPr>
            <w:r>
              <w:t>UE supports only intra-band non-contiguous EN-DC, i.e., if UE indicates “non-contiguous” in “intraBandENDC-Support” ​</w:t>
            </w:r>
          </w:p>
          <w:p w14:paraId="00B6B09A" w14:textId="4B3D4F00" w:rsidR="00FF0719" w:rsidRDefault="00FF0719" w:rsidP="009D3257">
            <w:pPr>
              <w:pStyle w:val="TAL"/>
              <w:numPr>
                <w:ilvl w:val="2"/>
                <w:numId w:val="21"/>
              </w:numPr>
            </w:pPr>
            <w:r>
              <w:t>power imbalance requirement for intra-band non-contiguous EN-DC is applied​</w:t>
            </w:r>
          </w:p>
          <w:p w14:paraId="02ED1F9B" w14:textId="33445D37" w:rsidR="00FF0719" w:rsidRDefault="00FF0719" w:rsidP="009D3257">
            <w:pPr>
              <w:pStyle w:val="TAL"/>
              <w:numPr>
                <w:ilvl w:val="1"/>
                <w:numId w:val="21"/>
              </w:numPr>
            </w:pPr>
            <w:r>
              <w:t>UE supports both intra-band contiguous and non-contiguous EN-DC, i.e., if UE indicates “both” in “intraBandENDC-Support” ​</w:t>
            </w:r>
          </w:p>
          <w:p w14:paraId="7C65F779" w14:textId="5DE22E63" w:rsidR="00FF0719" w:rsidRPr="00FF0719" w:rsidRDefault="00FF0719" w:rsidP="009D3257">
            <w:pPr>
              <w:pStyle w:val="TAL"/>
              <w:numPr>
                <w:ilvl w:val="2"/>
                <w:numId w:val="21"/>
              </w:numPr>
            </w:pPr>
            <w:r>
              <w:t>power imbalance requirement for FR1 intra-band contiguous EN-DC</w:t>
            </w:r>
          </w:p>
        </w:tc>
      </w:tr>
    </w:tbl>
    <w:p w14:paraId="32013EED" w14:textId="6215020D" w:rsidR="009944F9" w:rsidRDefault="009944F9" w:rsidP="005A7AA0">
      <w:pPr>
        <w:rPr>
          <w:lang w:val="en-GB"/>
        </w:rPr>
      </w:pPr>
    </w:p>
    <w:p w14:paraId="5AFC94DF" w14:textId="743414D8" w:rsidR="009B1421" w:rsidRDefault="009160ED" w:rsidP="005A7AA0">
      <w:pPr>
        <w:rPr>
          <w:lang w:val="en-GB"/>
        </w:rPr>
      </w:pPr>
      <w:r>
        <w:rPr>
          <w:lang w:val="en-GB"/>
        </w:rPr>
        <w:t xml:space="preserve">According to TS36.306 V16.2.0, </w:t>
      </w:r>
      <w:r w:rsidR="00CA3CFF">
        <w:rPr>
          <w:lang w:val="en-GB"/>
        </w:rPr>
        <w:t>this UE capability is defined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9230F" w:rsidRPr="00387C93" w14:paraId="5E9AFDC6" w14:textId="77777777" w:rsidTr="004733B9">
        <w:trPr>
          <w:cantSplit/>
          <w:tblHeader/>
        </w:trPr>
        <w:tc>
          <w:tcPr>
            <w:tcW w:w="6917" w:type="dxa"/>
          </w:tcPr>
          <w:p w14:paraId="2C7F2F4F" w14:textId="77777777" w:rsidR="00F9230F" w:rsidRPr="00387C93" w:rsidRDefault="00F9230F" w:rsidP="004733B9">
            <w:pPr>
              <w:pStyle w:val="TAL"/>
              <w:rPr>
                <w:b/>
                <w:bCs/>
                <w:i/>
                <w:iCs/>
              </w:rPr>
            </w:pPr>
            <w:r w:rsidRPr="00387C93">
              <w:rPr>
                <w:b/>
                <w:bCs/>
                <w:i/>
                <w:iCs/>
              </w:rPr>
              <w:t>interBandContiguousMRDC</w:t>
            </w:r>
          </w:p>
          <w:p w14:paraId="2646B873" w14:textId="77777777" w:rsidR="00F9230F" w:rsidRPr="00387C93" w:rsidRDefault="00F9230F" w:rsidP="004733B9">
            <w:pPr>
              <w:pStyle w:val="TAL"/>
              <w:rPr>
                <w:bCs/>
                <w:iCs/>
              </w:rPr>
            </w:pPr>
            <w:r w:rsidRPr="00387C93">
              <w:rPr>
                <w:bCs/>
                <w:iCs/>
              </w:rPr>
              <w:t xml:space="preserve">Indicates for an inter-band (NG)EN-DC/NE-DC combination, where the frequency range of the E-UTRA band is a subset of the frequency range of the NR band (as specified in Table 5.5B.4.1-1 of TS 38.101-3 [4]), that the UE supports intra-band contiguous (NG)EN-DC/NE-DC requirements (see TS 38.101-3 [4]). </w:t>
            </w:r>
            <w:r w:rsidRPr="00774906">
              <w:rPr>
                <w:bCs/>
                <w:iCs/>
                <w:highlight w:val="yellow"/>
              </w:rPr>
              <w:t>If the field is absent for such an inter-band (NG)EN-DC/NE-DC combination, the UE supports intra-band non-contiguous (NG)EN-DC/NE-DC requirements.</w:t>
            </w:r>
          </w:p>
        </w:tc>
        <w:tc>
          <w:tcPr>
            <w:tcW w:w="709" w:type="dxa"/>
          </w:tcPr>
          <w:p w14:paraId="021EE9F3" w14:textId="77777777" w:rsidR="00F9230F" w:rsidRPr="00387C93" w:rsidRDefault="00F9230F" w:rsidP="004733B9">
            <w:pPr>
              <w:pStyle w:val="TAL"/>
              <w:jc w:val="center"/>
            </w:pPr>
            <w:r w:rsidRPr="00387C93">
              <w:t>BC</w:t>
            </w:r>
          </w:p>
        </w:tc>
        <w:tc>
          <w:tcPr>
            <w:tcW w:w="567" w:type="dxa"/>
          </w:tcPr>
          <w:p w14:paraId="7701BE67" w14:textId="77777777" w:rsidR="00F9230F" w:rsidRPr="00387C93" w:rsidRDefault="00F9230F" w:rsidP="004733B9">
            <w:pPr>
              <w:pStyle w:val="TAL"/>
              <w:jc w:val="center"/>
            </w:pPr>
            <w:r w:rsidRPr="00387C93">
              <w:t>CY</w:t>
            </w:r>
          </w:p>
        </w:tc>
        <w:tc>
          <w:tcPr>
            <w:tcW w:w="709" w:type="dxa"/>
          </w:tcPr>
          <w:p w14:paraId="18F27F4B" w14:textId="77777777" w:rsidR="00F9230F" w:rsidRPr="00387C93" w:rsidRDefault="00F9230F" w:rsidP="004733B9">
            <w:pPr>
              <w:pStyle w:val="TAL"/>
              <w:jc w:val="center"/>
            </w:pPr>
            <w:r w:rsidRPr="00387C93">
              <w:rPr>
                <w:bCs/>
                <w:iCs/>
              </w:rPr>
              <w:t>N/A</w:t>
            </w:r>
          </w:p>
        </w:tc>
        <w:tc>
          <w:tcPr>
            <w:tcW w:w="728" w:type="dxa"/>
          </w:tcPr>
          <w:p w14:paraId="2A0A0CD5" w14:textId="77777777" w:rsidR="00F9230F" w:rsidRPr="00387C93" w:rsidRDefault="00F9230F" w:rsidP="004733B9">
            <w:pPr>
              <w:pStyle w:val="TAL"/>
              <w:jc w:val="center"/>
            </w:pPr>
            <w:r w:rsidRPr="00387C93">
              <w:rPr>
                <w:bCs/>
                <w:iCs/>
              </w:rPr>
              <w:t>N/A</w:t>
            </w:r>
          </w:p>
        </w:tc>
      </w:tr>
    </w:tbl>
    <w:p w14:paraId="0FC89E7A" w14:textId="667D371A" w:rsidR="00CA3CFF" w:rsidRPr="00F9230F" w:rsidRDefault="00CA3CFF" w:rsidP="00F9230F">
      <w:pPr>
        <w:rPr>
          <w:lang w:val="en-GB"/>
        </w:rPr>
      </w:pPr>
    </w:p>
    <w:p w14:paraId="17C95173" w14:textId="2F35E4C5" w:rsidR="009944F9" w:rsidRDefault="00C41157" w:rsidP="005A7AA0">
      <w:pPr>
        <w:rPr>
          <w:lang w:val="en-GB"/>
        </w:rPr>
      </w:pPr>
      <w:r>
        <w:rPr>
          <w:lang w:val="en-GB"/>
        </w:rPr>
        <w:t xml:space="preserve">In our understanding, if UE does NOT indicate </w:t>
      </w:r>
      <w:r w:rsidRPr="00C41157">
        <w:rPr>
          <w:i/>
          <w:iCs/>
          <w:lang w:val="en-GB"/>
        </w:rPr>
        <w:t>interBandContiguousMRDC</w:t>
      </w:r>
      <w:r>
        <w:rPr>
          <w:lang w:val="en-GB"/>
        </w:rPr>
        <w:t xml:space="preserve">, then </w:t>
      </w:r>
      <w:r w:rsidRPr="007A06AB">
        <w:rPr>
          <w:lang w:val="en-GB"/>
        </w:rPr>
        <w:t>the UE supports</w:t>
      </w:r>
      <w:r>
        <w:rPr>
          <w:lang w:val="en-GB"/>
        </w:rPr>
        <w:t xml:space="preserve"> </w:t>
      </w:r>
      <w:r w:rsidRPr="007A06AB">
        <w:rPr>
          <w:lang w:val="en-GB"/>
        </w:rPr>
        <w:t xml:space="preserve">intra-band non-contiguous </w:t>
      </w:r>
      <w:r>
        <w:rPr>
          <w:lang w:val="en-GB"/>
        </w:rPr>
        <w:t>E</w:t>
      </w:r>
      <w:r w:rsidRPr="007A06AB">
        <w:rPr>
          <w:lang w:val="en-GB"/>
        </w:rPr>
        <w:t>N-DC</w:t>
      </w:r>
      <w:r>
        <w:rPr>
          <w:lang w:val="en-GB"/>
        </w:rPr>
        <w:t xml:space="preserve"> </w:t>
      </w:r>
      <w:r w:rsidR="00234C25">
        <w:rPr>
          <w:lang w:val="en-GB"/>
        </w:rPr>
        <w:t>requirements</w:t>
      </w:r>
      <w:r w:rsidR="00ED3378">
        <w:rPr>
          <w:lang w:val="en-GB"/>
        </w:rPr>
        <w:t xml:space="preserve"> for the frequency range of the LTE band is a subset of NR band. </w:t>
      </w:r>
      <w:r w:rsidR="0079774B">
        <w:rPr>
          <w:lang w:val="en-GB"/>
        </w:rPr>
        <w:t xml:space="preserve">One example is the LTE band 42 and NR band n77/n78. </w:t>
      </w:r>
      <w:r w:rsidR="001E0E17">
        <w:rPr>
          <w:lang w:val="en-GB"/>
        </w:rPr>
        <w:t xml:space="preserve">As it is specified in TS38.101-3 </w:t>
      </w:r>
      <w:r w:rsidR="00C233B7">
        <w:rPr>
          <w:lang w:val="en-GB"/>
        </w:rPr>
        <w:t xml:space="preserve">V16.5.0 </w:t>
      </w:r>
      <w:r w:rsidR="001E0E17">
        <w:rPr>
          <w:lang w:val="en-GB"/>
        </w:rPr>
        <w:t xml:space="preserve">Table </w:t>
      </w:r>
      <w:r w:rsidR="001E0E17" w:rsidRPr="007A06AB">
        <w:rPr>
          <w:lang w:val="en-GB"/>
        </w:rPr>
        <w:t>5.5B.4.1-1</w:t>
      </w:r>
      <w:r w:rsidR="001E0E17">
        <w:rPr>
          <w:lang w:val="en-GB"/>
        </w:rPr>
        <w:t xml:space="preserve">, </w:t>
      </w:r>
      <w:r w:rsidR="007A5043" w:rsidRPr="007A5043">
        <w:rPr>
          <w:lang w:val="en-GB"/>
        </w:rPr>
        <w:t>DC</w:t>
      </w:r>
      <w:r w:rsidR="007A5043">
        <w:rPr>
          <w:lang w:val="en-GB"/>
        </w:rPr>
        <w:t xml:space="preserve"> </w:t>
      </w:r>
      <w:r w:rsidR="007A5043" w:rsidRPr="007A5043">
        <w:rPr>
          <w:lang w:val="en-GB"/>
        </w:rPr>
        <w:t>42</w:t>
      </w:r>
      <w:r w:rsidR="007A5043">
        <w:rPr>
          <w:lang w:val="en-GB"/>
        </w:rPr>
        <w:t>+</w:t>
      </w:r>
      <w:r w:rsidR="007A5043" w:rsidRPr="007A5043">
        <w:rPr>
          <w:lang w:val="en-GB"/>
        </w:rPr>
        <w:t>n77</w:t>
      </w:r>
      <w:r w:rsidR="007A5043">
        <w:rPr>
          <w:lang w:val="en-GB"/>
        </w:rPr>
        <w:t xml:space="preserve"> and DC 42+n78 </w:t>
      </w:r>
      <w:r w:rsidR="007C2724">
        <w:rPr>
          <w:lang w:val="en-GB"/>
        </w:rPr>
        <w:t xml:space="preserve">have the following notes: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09"/>
        <w:gridCol w:w="2280"/>
        <w:gridCol w:w="3542"/>
      </w:tblGrid>
      <w:tr w:rsidR="004F7964" w:rsidRPr="00E062F1" w14:paraId="4455491C" w14:textId="77777777" w:rsidTr="006B097F">
        <w:trPr>
          <w:trHeight w:val="47"/>
          <w:tblHeader/>
          <w:jc w:val="center"/>
        </w:trPr>
        <w:tc>
          <w:tcPr>
            <w:tcW w:w="3109" w:type="dxa"/>
            <w:shd w:val="clear" w:color="auto" w:fill="auto"/>
            <w:vAlign w:val="center"/>
            <w:hideMark/>
          </w:tcPr>
          <w:p w14:paraId="44841D4D" w14:textId="77777777" w:rsidR="004F7964" w:rsidRPr="00E062F1" w:rsidRDefault="004F7964" w:rsidP="004733B9">
            <w:pPr>
              <w:pStyle w:val="TAH"/>
              <w:rPr>
                <w:lang w:eastAsia="fi-FI"/>
              </w:rPr>
            </w:pPr>
            <w:r w:rsidRPr="00E062F1">
              <w:rPr>
                <w:lang w:eastAsia="fi-FI"/>
              </w:rPr>
              <w:lastRenderedPageBreak/>
              <w:t>EN-DC</w:t>
            </w:r>
          </w:p>
          <w:p w14:paraId="1B64E52C" w14:textId="77777777" w:rsidR="004F7964" w:rsidRPr="00E062F1" w:rsidRDefault="004F7964" w:rsidP="004733B9">
            <w:pPr>
              <w:pStyle w:val="TAH"/>
              <w:rPr>
                <w:lang w:eastAsia="fi-FI"/>
              </w:rPr>
            </w:pPr>
            <w:r w:rsidRPr="00E062F1">
              <w:rPr>
                <w:lang w:eastAsia="fi-FI"/>
              </w:rPr>
              <w:t>configuration</w:t>
            </w:r>
          </w:p>
        </w:tc>
        <w:tc>
          <w:tcPr>
            <w:tcW w:w="2280" w:type="dxa"/>
            <w:vAlign w:val="center"/>
          </w:tcPr>
          <w:p w14:paraId="08B8866E" w14:textId="77777777" w:rsidR="004F7964" w:rsidRPr="00E062F1" w:rsidRDefault="004F7964" w:rsidP="004733B9">
            <w:pPr>
              <w:pStyle w:val="TAH"/>
              <w:rPr>
                <w:lang w:eastAsia="fi-FI"/>
              </w:rPr>
            </w:pPr>
            <w:r w:rsidRPr="00E062F1">
              <w:rPr>
                <w:lang w:eastAsia="fi-FI"/>
              </w:rPr>
              <w:t>Uplink EN-DC</w:t>
            </w:r>
          </w:p>
          <w:p w14:paraId="2A09DB57" w14:textId="77777777" w:rsidR="004F7964" w:rsidRPr="00E062F1" w:rsidRDefault="004F7964" w:rsidP="004733B9">
            <w:pPr>
              <w:pStyle w:val="TAH"/>
              <w:rPr>
                <w:lang w:eastAsia="fi-FI"/>
              </w:rPr>
            </w:pPr>
            <w:r w:rsidRPr="00E062F1">
              <w:rPr>
                <w:lang w:eastAsia="fi-FI"/>
              </w:rPr>
              <w:t>configuration</w:t>
            </w:r>
          </w:p>
          <w:p w14:paraId="573066FB" w14:textId="77777777" w:rsidR="004F7964" w:rsidRPr="00E062F1" w:rsidDel="00C35823" w:rsidRDefault="004F7964" w:rsidP="004733B9">
            <w:pPr>
              <w:pStyle w:val="TAH"/>
              <w:rPr>
                <w:lang w:eastAsia="fi-FI"/>
              </w:rPr>
            </w:pPr>
            <w:r w:rsidRPr="00E062F1">
              <w:rPr>
                <w:lang w:eastAsia="fi-FI"/>
              </w:rPr>
              <w:t>(NOTE 1)</w:t>
            </w:r>
          </w:p>
        </w:tc>
        <w:tc>
          <w:tcPr>
            <w:tcW w:w="3542" w:type="dxa"/>
            <w:shd w:val="clear" w:color="auto" w:fill="auto"/>
            <w:vAlign w:val="center"/>
            <w:hideMark/>
          </w:tcPr>
          <w:p w14:paraId="76EB84DF" w14:textId="77777777" w:rsidR="004F7964" w:rsidRPr="00E062F1" w:rsidRDefault="004F7964" w:rsidP="004733B9">
            <w:pPr>
              <w:pStyle w:val="TAH"/>
              <w:rPr>
                <w:lang w:eastAsia="fi-FI"/>
              </w:rPr>
            </w:pPr>
            <w:r w:rsidRPr="00E062F1">
              <w:rPr>
                <w:lang w:eastAsia="fi-FI"/>
              </w:rPr>
              <w:t>Single UL allowed</w:t>
            </w:r>
          </w:p>
        </w:tc>
      </w:tr>
      <w:tr w:rsidR="00D93605" w:rsidRPr="00E062F1" w14:paraId="04A41CF2" w14:textId="77777777" w:rsidTr="006B097F">
        <w:trPr>
          <w:trHeight w:val="47"/>
          <w:tblHeader/>
          <w:jc w:val="center"/>
        </w:trPr>
        <w:tc>
          <w:tcPr>
            <w:tcW w:w="3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05CAC" w14:textId="77777777" w:rsidR="00D93605" w:rsidRPr="00D93605" w:rsidRDefault="00D93605" w:rsidP="00D93605">
            <w:pPr>
              <w:pStyle w:val="TAH"/>
              <w:rPr>
                <w:b w:val="0"/>
                <w:bCs/>
                <w:lang w:eastAsia="fi-FI"/>
              </w:rPr>
            </w:pPr>
            <w:r w:rsidRPr="00D93605">
              <w:rPr>
                <w:b w:val="0"/>
                <w:bCs/>
                <w:lang w:eastAsia="fi-FI"/>
              </w:rPr>
              <w:t>DC_42A_n77A</w:t>
            </w:r>
            <w:r w:rsidRPr="00D93605">
              <w:rPr>
                <w:b w:val="0"/>
                <w:bCs/>
                <w:vertAlign w:val="superscript"/>
                <w:lang w:eastAsia="fi-FI"/>
              </w:rPr>
              <w:t>3,4,9,11</w:t>
            </w:r>
          </w:p>
          <w:p w14:paraId="16E01338" w14:textId="77777777" w:rsidR="00D93605" w:rsidRPr="00D93605" w:rsidRDefault="00D93605" w:rsidP="00D93605">
            <w:pPr>
              <w:pStyle w:val="TAH"/>
              <w:rPr>
                <w:b w:val="0"/>
                <w:bCs/>
                <w:vertAlign w:val="superscript"/>
                <w:lang w:eastAsia="fi-FI"/>
              </w:rPr>
            </w:pPr>
            <w:r w:rsidRPr="00D93605">
              <w:rPr>
                <w:b w:val="0"/>
                <w:bCs/>
                <w:lang w:eastAsia="fi-FI"/>
              </w:rPr>
              <w:t>DC_42A_n77C</w:t>
            </w:r>
            <w:r w:rsidRPr="00D93605">
              <w:rPr>
                <w:b w:val="0"/>
                <w:bCs/>
                <w:vertAlign w:val="superscript"/>
                <w:lang w:eastAsia="fi-FI"/>
              </w:rPr>
              <w:t>3,4,9,11</w:t>
            </w:r>
          </w:p>
          <w:p w14:paraId="2D4E11ED" w14:textId="78CA2131" w:rsidR="00D93605" w:rsidRPr="00D93605" w:rsidRDefault="00D93605" w:rsidP="00D93605">
            <w:pPr>
              <w:pStyle w:val="TAH"/>
              <w:rPr>
                <w:b w:val="0"/>
                <w:bCs/>
                <w:vertAlign w:val="superscript"/>
                <w:lang w:eastAsia="fi-FI"/>
              </w:rPr>
            </w:pPr>
            <w:r w:rsidRPr="00D93605">
              <w:rPr>
                <w:b w:val="0"/>
                <w:bCs/>
                <w:lang w:eastAsia="fi-FI"/>
              </w:rPr>
              <w:t>DC_42C_n77A</w:t>
            </w:r>
            <w:r w:rsidRPr="00D93605">
              <w:rPr>
                <w:b w:val="0"/>
                <w:bCs/>
                <w:vertAlign w:val="superscript"/>
                <w:lang w:eastAsia="fi-FI"/>
              </w:rPr>
              <w:t>3,4,9,11</w:t>
            </w:r>
          </w:p>
          <w:p w14:paraId="27128EFC" w14:textId="0CDA2D2E" w:rsidR="00D93605" w:rsidRPr="00D93605" w:rsidRDefault="00D93605" w:rsidP="00D93605">
            <w:pPr>
              <w:pStyle w:val="TAH"/>
              <w:rPr>
                <w:b w:val="0"/>
                <w:bCs/>
                <w:vertAlign w:val="superscript"/>
                <w:lang w:eastAsia="fi-FI"/>
              </w:rPr>
            </w:pPr>
            <w:r w:rsidRPr="00D93605">
              <w:rPr>
                <w:b w:val="0"/>
                <w:bCs/>
                <w:lang w:eastAsia="fi-FI"/>
              </w:rPr>
              <w:t>DC_42C_n77C</w:t>
            </w:r>
            <w:r w:rsidRPr="00D93605">
              <w:rPr>
                <w:b w:val="0"/>
                <w:bCs/>
                <w:vertAlign w:val="superscript"/>
                <w:lang w:eastAsia="fi-FI"/>
              </w:rPr>
              <w:t>3,4,9,11</w:t>
            </w:r>
          </w:p>
          <w:p w14:paraId="0E0423E1" w14:textId="56A9FD53" w:rsidR="00D93605" w:rsidRPr="00D93605" w:rsidRDefault="00D93605" w:rsidP="00D93605">
            <w:pPr>
              <w:pStyle w:val="TAH"/>
              <w:rPr>
                <w:b w:val="0"/>
                <w:bCs/>
                <w:lang w:eastAsia="fi-FI"/>
              </w:rPr>
            </w:pPr>
            <w:r w:rsidRPr="00D93605">
              <w:rPr>
                <w:b w:val="0"/>
                <w:bCs/>
                <w:lang w:eastAsia="fi-FI"/>
              </w:rPr>
              <w:t>DC_42D_n77A</w:t>
            </w:r>
            <w:r w:rsidRPr="00D93605">
              <w:rPr>
                <w:b w:val="0"/>
                <w:bCs/>
                <w:vertAlign w:val="superscript"/>
                <w:lang w:eastAsia="fi-FI"/>
              </w:rPr>
              <w:t>3,4,9,11</w:t>
            </w:r>
          </w:p>
          <w:p w14:paraId="4FE12968" w14:textId="77777777" w:rsidR="00D93605" w:rsidRPr="00D93605" w:rsidRDefault="00D93605" w:rsidP="00D93605">
            <w:pPr>
              <w:pStyle w:val="TAH"/>
              <w:rPr>
                <w:b w:val="0"/>
                <w:bCs/>
                <w:lang w:eastAsia="fi-FI"/>
              </w:rPr>
            </w:pPr>
            <w:r w:rsidRPr="00D93605">
              <w:rPr>
                <w:b w:val="0"/>
                <w:bCs/>
                <w:lang w:eastAsia="fi-FI"/>
              </w:rPr>
              <w:t>DC_42D_n77C</w:t>
            </w:r>
          </w:p>
          <w:p w14:paraId="0BFE5D3E" w14:textId="5B52D7F0" w:rsidR="00D93605" w:rsidRPr="00D93605" w:rsidRDefault="00D93605" w:rsidP="00D93605">
            <w:pPr>
              <w:pStyle w:val="TAH"/>
              <w:rPr>
                <w:b w:val="0"/>
                <w:bCs/>
                <w:lang w:eastAsia="fi-FI"/>
              </w:rPr>
            </w:pPr>
            <w:r w:rsidRPr="00D93605">
              <w:rPr>
                <w:b w:val="0"/>
                <w:bCs/>
                <w:lang w:eastAsia="fi-FI"/>
              </w:rPr>
              <w:t>DC_42E_n77A</w:t>
            </w:r>
            <w:r w:rsidRPr="00D93605">
              <w:rPr>
                <w:b w:val="0"/>
                <w:bCs/>
                <w:vertAlign w:val="superscript"/>
                <w:lang w:eastAsia="fi-FI"/>
              </w:rPr>
              <w:t>3,4,9,11</w:t>
            </w:r>
          </w:p>
          <w:p w14:paraId="384BBA90" w14:textId="77777777" w:rsidR="00D93605" w:rsidRPr="00D93605" w:rsidRDefault="00D93605" w:rsidP="00D93605">
            <w:pPr>
              <w:pStyle w:val="TAH"/>
              <w:rPr>
                <w:b w:val="0"/>
                <w:bCs/>
                <w:lang w:eastAsia="fi-FI"/>
              </w:rPr>
            </w:pPr>
            <w:r w:rsidRPr="00D93605">
              <w:rPr>
                <w:b w:val="0"/>
                <w:bCs/>
                <w:lang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tcPr>
          <w:p w14:paraId="4C40F224" w14:textId="77777777" w:rsidR="00D93605" w:rsidRPr="00D93605" w:rsidRDefault="00D93605" w:rsidP="00D93605">
            <w:pPr>
              <w:pStyle w:val="TAH"/>
              <w:rPr>
                <w:b w:val="0"/>
                <w:bCs/>
                <w:lang w:eastAsia="fi-FI"/>
              </w:rPr>
            </w:pPr>
            <w:r w:rsidRPr="00D93605">
              <w:rPr>
                <w:b w:val="0"/>
                <w:bCs/>
                <w:lang w:eastAsia="fi-FI"/>
              </w:rPr>
              <w:t>N/A</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62205" w14:textId="77777777" w:rsidR="00D93605" w:rsidRPr="00D93605" w:rsidRDefault="00D93605" w:rsidP="00D93605">
            <w:pPr>
              <w:pStyle w:val="TAH"/>
              <w:rPr>
                <w:b w:val="0"/>
                <w:bCs/>
                <w:lang w:eastAsia="fi-FI"/>
              </w:rPr>
            </w:pPr>
            <w:r w:rsidRPr="00D93605">
              <w:rPr>
                <w:b w:val="0"/>
                <w:bCs/>
                <w:lang w:eastAsia="fi-FI"/>
              </w:rPr>
              <w:t>N/A</w:t>
            </w:r>
          </w:p>
        </w:tc>
      </w:tr>
      <w:tr w:rsidR="00D93605" w:rsidRPr="00E062F1" w14:paraId="35A27798" w14:textId="77777777" w:rsidTr="006B097F">
        <w:trPr>
          <w:trHeight w:val="47"/>
          <w:tblHeader/>
          <w:jc w:val="center"/>
        </w:trPr>
        <w:tc>
          <w:tcPr>
            <w:tcW w:w="3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71E99" w14:textId="5E9CA124" w:rsidR="00D93605" w:rsidRPr="00D93605" w:rsidRDefault="00D93605" w:rsidP="00D93605">
            <w:pPr>
              <w:pStyle w:val="TAH"/>
              <w:rPr>
                <w:b w:val="0"/>
                <w:bCs/>
                <w:lang w:eastAsia="fi-FI"/>
              </w:rPr>
            </w:pPr>
            <w:r w:rsidRPr="00D93605">
              <w:rPr>
                <w:b w:val="0"/>
                <w:bCs/>
                <w:lang w:eastAsia="fi-FI"/>
              </w:rPr>
              <w:t>DC_42A_n77(2A)</w:t>
            </w:r>
            <w:r w:rsidRPr="00D93605">
              <w:rPr>
                <w:b w:val="0"/>
                <w:bCs/>
                <w:vertAlign w:val="superscript"/>
                <w:lang w:eastAsia="fi-FI"/>
              </w:rPr>
              <w:t xml:space="preserve"> 3,4,9,11</w:t>
            </w:r>
          </w:p>
          <w:p w14:paraId="715D8D46" w14:textId="03220D2E" w:rsidR="00D93605" w:rsidRPr="00D93605" w:rsidRDefault="00D93605" w:rsidP="00D93605">
            <w:pPr>
              <w:pStyle w:val="TAH"/>
              <w:rPr>
                <w:b w:val="0"/>
                <w:bCs/>
                <w:lang w:eastAsia="fi-FI"/>
              </w:rPr>
            </w:pPr>
            <w:r w:rsidRPr="00D93605">
              <w:rPr>
                <w:b w:val="0"/>
                <w:bCs/>
                <w:lang w:eastAsia="fi-FI"/>
              </w:rPr>
              <w:t>DC_42C_n77(2A)</w:t>
            </w:r>
            <w:r w:rsidRPr="00D93605">
              <w:rPr>
                <w:b w:val="0"/>
                <w:bCs/>
                <w:vertAlign w:val="superscript"/>
                <w:lang w:eastAsia="fi-FI"/>
              </w:rPr>
              <w:t xml:space="preserve"> 3,4,9,11</w:t>
            </w:r>
          </w:p>
        </w:tc>
        <w:tc>
          <w:tcPr>
            <w:tcW w:w="2280" w:type="dxa"/>
            <w:tcBorders>
              <w:top w:val="single" w:sz="4" w:space="0" w:color="auto"/>
              <w:left w:val="single" w:sz="4" w:space="0" w:color="auto"/>
              <w:bottom w:val="single" w:sz="4" w:space="0" w:color="auto"/>
              <w:right w:val="single" w:sz="4" w:space="0" w:color="auto"/>
            </w:tcBorders>
            <w:vAlign w:val="center"/>
          </w:tcPr>
          <w:p w14:paraId="2D01B163" w14:textId="77777777" w:rsidR="00D93605" w:rsidRPr="00D93605" w:rsidRDefault="00D93605" w:rsidP="00D93605">
            <w:pPr>
              <w:pStyle w:val="TAH"/>
              <w:rPr>
                <w:b w:val="0"/>
                <w:bCs/>
                <w:lang w:eastAsia="fi-FI"/>
              </w:rPr>
            </w:pPr>
            <w:r w:rsidRPr="00D93605">
              <w:rPr>
                <w:b w:val="0"/>
                <w:bCs/>
                <w:lang w:eastAsia="fi-FI"/>
              </w:rPr>
              <w:t>N/A</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EFFA7" w14:textId="77777777" w:rsidR="00D93605" w:rsidRPr="00D93605" w:rsidRDefault="00D93605" w:rsidP="00D93605">
            <w:pPr>
              <w:pStyle w:val="TAH"/>
              <w:rPr>
                <w:b w:val="0"/>
                <w:bCs/>
                <w:lang w:eastAsia="fi-FI"/>
              </w:rPr>
            </w:pPr>
            <w:r w:rsidRPr="00D93605">
              <w:rPr>
                <w:b w:val="0"/>
                <w:bCs/>
                <w:lang w:eastAsia="fi-FI"/>
              </w:rPr>
              <w:t>N/A</w:t>
            </w:r>
          </w:p>
        </w:tc>
      </w:tr>
      <w:tr w:rsidR="00D93605" w:rsidRPr="00E062F1" w14:paraId="399569E6" w14:textId="77777777" w:rsidTr="006B097F">
        <w:trPr>
          <w:trHeight w:val="47"/>
          <w:tblHeader/>
          <w:jc w:val="center"/>
        </w:trPr>
        <w:tc>
          <w:tcPr>
            <w:tcW w:w="31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2D876" w14:textId="7C7ADF58" w:rsidR="00D93605" w:rsidRPr="00D93605" w:rsidRDefault="00D93605" w:rsidP="00D93605">
            <w:pPr>
              <w:pStyle w:val="TAH"/>
              <w:rPr>
                <w:b w:val="0"/>
                <w:bCs/>
                <w:lang w:eastAsia="fi-FI"/>
              </w:rPr>
            </w:pPr>
            <w:r w:rsidRPr="00D93605">
              <w:rPr>
                <w:b w:val="0"/>
                <w:bCs/>
                <w:lang w:eastAsia="fi-FI"/>
              </w:rPr>
              <w:t>DC_42A_n78A</w:t>
            </w:r>
            <w:r w:rsidRPr="00D93605">
              <w:rPr>
                <w:b w:val="0"/>
                <w:bCs/>
                <w:vertAlign w:val="superscript"/>
                <w:lang w:eastAsia="fi-FI"/>
              </w:rPr>
              <w:t>3,4,9,11</w:t>
            </w:r>
          </w:p>
          <w:p w14:paraId="17C70355" w14:textId="3F0391A3" w:rsidR="00D93605" w:rsidRPr="00D93605" w:rsidRDefault="00D93605" w:rsidP="00D93605">
            <w:pPr>
              <w:pStyle w:val="TAH"/>
              <w:rPr>
                <w:b w:val="0"/>
                <w:bCs/>
                <w:lang w:eastAsia="fi-FI"/>
              </w:rPr>
            </w:pPr>
            <w:r w:rsidRPr="00D93605">
              <w:rPr>
                <w:b w:val="0"/>
                <w:bCs/>
                <w:lang w:eastAsia="fi-FI"/>
              </w:rPr>
              <w:t>DC_42A_n78C</w:t>
            </w:r>
            <w:r w:rsidRPr="00D93605">
              <w:rPr>
                <w:b w:val="0"/>
                <w:bCs/>
                <w:vertAlign w:val="superscript"/>
                <w:lang w:eastAsia="fi-FI"/>
              </w:rPr>
              <w:t>3,4,9,11</w:t>
            </w:r>
          </w:p>
          <w:p w14:paraId="48D78CE6" w14:textId="13C94BA8" w:rsidR="00D93605" w:rsidRPr="00D93605" w:rsidRDefault="00D93605" w:rsidP="00D93605">
            <w:pPr>
              <w:pStyle w:val="TAH"/>
              <w:rPr>
                <w:b w:val="0"/>
                <w:bCs/>
                <w:lang w:eastAsia="fi-FI"/>
              </w:rPr>
            </w:pPr>
            <w:r w:rsidRPr="00D93605">
              <w:rPr>
                <w:b w:val="0"/>
                <w:bCs/>
                <w:lang w:eastAsia="fi-FI"/>
              </w:rPr>
              <w:t>DC_42C_n78A</w:t>
            </w:r>
            <w:r w:rsidRPr="00D93605">
              <w:rPr>
                <w:b w:val="0"/>
                <w:bCs/>
                <w:vertAlign w:val="superscript"/>
                <w:lang w:eastAsia="fi-FI"/>
              </w:rPr>
              <w:t>3,4,9,11</w:t>
            </w:r>
          </w:p>
          <w:p w14:paraId="1045362A" w14:textId="4FAD5838" w:rsidR="00D93605" w:rsidRPr="00D93605" w:rsidRDefault="00D93605" w:rsidP="00D93605">
            <w:pPr>
              <w:pStyle w:val="TAH"/>
              <w:rPr>
                <w:b w:val="0"/>
                <w:bCs/>
                <w:lang w:eastAsia="fi-FI"/>
              </w:rPr>
            </w:pPr>
            <w:r w:rsidRPr="00D93605">
              <w:rPr>
                <w:b w:val="0"/>
                <w:bCs/>
                <w:lang w:eastAsia="fi-FI"/>
              </w:rPr>
              <w:t>DC_42C_n78C</w:t>
            </w:r>
            <w:r w:rsidRPr="00D93605">
              <w:rPr>
                <w:b w:val="0"/>
                <w:bCs/>
                <w:vertAlign w:val="superscript"/>
                <w:lang w:eastAsia="fi-FI"/>
              </w:rPr>
              <w:t>3,4,9,11</w:t>
            </w:r>
          </w:p>
          <w:p w14:paraId="4A3B9E3B" w14:textId="576F540A" w:rsidR="00D93605" w:rsidRPr="00D93605" w:rsidRDefault="00D93605" w:rsidP="00D93605">
            <w:pPr>
              <w:pStyle w:val="TAH"/>
              <w:rPr>
                <w:b w:val="0"/>
                <w:bCs/>
                <w:lang w:eastAsia="fi-FI"/>
              </w:rPr>
            </w:pPr>
            <w:r w:rsidRPr="00D93605">
              <w:rPr>
                <w:b w:val="0"/>
                <w:bCs/>
                <w:lang w:eastAsia="fi-FI"/>
              </w:rPr>
              <w:t>DC_42D_n78A</w:t>
            </w:r>
            <w:r w:rsidRPr="00D93605">
              <w:rPr>
                <w:b w:val="0"/>
                <w:bCs/>
                <w:vertAlign w:val="superscript"/>
                <w:lang w:eastAsia="fi-FI"/>
              </w:rPr>
              <w:t>3,4,9,11</w:t>
            </w:r>
          </w:p>
          <w:p w14:paraId="6C322761" w14:textId="77777777" w:rsidR="00D93605" w:rsidRPr="00D93605" w:rsidRDefault="00D93605" w:rsidP="00D93605">
            <w:pPr>
              <w:pStyle w:val="TAH"/>
              <w:rPr>
                <w:b w:val="0"/>
                <w:bCs/>
                <w:lang w:eastAsia="fi-FI"/>
              </w:rPr>
            </w:pPr>
            <w:r w:rsidRPr="00D93605">
              <w:rPr>
                <w:b w:val="0"/>
                <w:bCs/>
                <w:lang w:eastAsia="fi-FI"/>
              </w:rPr>
              <w:t>DC_42D_n78C</w:t>
            </w:r>
          </w:p>
          <w:p w14:paraId="5B1DAE4C" w14:textId="491C59B7" w:rsidR="00D93605" w:rsidRPr="00D93605" w:rsidRDefault="00D93605" w:rsidP="00D93605">
            <w:pPr>
              <w:pStyle w:val="TAH"/>
              <w:rPr>
                <w:b w:val="0"/>
                <w:bCs/>
                <w:lang w:eastAsia="fi-FI"/>
              </w:rPr>
            </w:pPr>
            <w:r w:rsidRPr="00D93605">
              <w:rPr>
                <w:b w:val="0"/>
                <w:bCs/>
                <w:lang w:eastAsia="fi-FI"/>
              </w:rPr>
              <w:t>DC_42E_n78A</w:t>
            </w:r>
            <w:r w:rsidRPr="00D93605">
              <w:rPr>
                <w:b w:val="0"/>
                <w:bCs/>
                <w:vertAlign w:val="superscript"/>
                <w:lang w:eastAsia="fi-FI"/>
              </w:rPr>
              <w:t>3,4,9,11</w:t>
            </w:r>
          </w:p>
          <w:p w14:paraId="1CB46F68" w14:textId="77777777" w:rsidR="00D93605" w:rsidRPr="00D93605" w:rsidRDefault="00D93605" w:rsidP="00D93605">
            <w:pPr>
              <w:pStyle w:val="TAH"/>
              <w:rPr>
                <w:b w:val="0"/>
                <w:bCs/>
                <w:lang w:eastAsia="fi-FI"/>
              </w:rPr>
            </w:pPr>
            <w:r w:rsidRPr="00D93605">
              <w:rPr>
                <w:b w:val="0"/>
                <w:bCs/>
                <w:lang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tcPr>
          <w:p w14:paraId="51229B6F" w14:textId="77777777" w:rsidR="00D93605" w:rsidRPr="00D93605" w:rsidRDefault="00D93605" w:rsidP="00D93605">
            <w:pPr>
              <w:pStyle w:val="TAH"/>
              <w:rPr>
                <w:b w:val="0"/>
                <w:bCs/>
                <w:lang w:eastAsia="fi-FI"/>
              </w:rPr>
            </w:pPr>
            <w:r w:rsidRPr="00D93605">
              <w:rPr>
                <w:b w:val="0"/>
                <w:bCs/>
                <w:lang w:eastAsia="fi-FI"/>
              </w:rPr>
              <w:t>N/A</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1C312" w14:textId="77777777" w:rsidR="00D93605" w:rsidRPr="00D93605" w:rsidRDefault="00D93605" w:rsidP="00D93605">
            <w:pPr>
              <w:pStyle w:val="TAH"/>
              <w:rPr>
                <w:b w:val="0"/>
                <w:bCs/>
                <w:lang w:eastAsia="fi-FI"/>
              </w:rPr>
            </w:pPr>
            <w:r w:rsidRPr="00D93605">
              <w:rPr>
                <w:b w:val="0"/>
                <w:bCs/>
                <w:lang w:eastAsia="fi-FI"/>
              </w:rPr>
              <w:t>N/A</w:t>
            </w:r>
          </w:p>
        </w:tc>
      </w:tr>
      <w:tr w:rsidR="005D2D0E" w:rsidRPr="00E062F1" w14:paraId="10762C2B" w14:textId="77777777" w:rsidTr="006B097F">
        <w:trPr>
          <w:trHeight w:val="47"/>
          <w:tblHeader/>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671A6" w14:textId="77777777" w:rsidR="005D2D0E" w:rsidRPr="00E062F1" w:rsidRDefault="005D2D0E" w:rsidP="005D2D0E">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57029850" w14:textId="77777777" w:rsidR="005D2D0E" w:rsidRPr="00E062F1" w:rsidRDefault="005D2D0E" w:rsidP="005D2D0E">
            <w:pPr>
              <w:pStyle w:val="TAN"/>
            </w:pPr>
            <w:r w:rsidRPr="006B097F">
              <w:rPr>
                <w:highlight w:val="yellow"/>
              </w:rPr>
              <w:t xml:space="preserve">NOTE 4: </w:t>
            </w:r>
            <w:r w:rsidRPr="006B097F">
              <w:rPr>
                <w:highlight w:val="yellow"/>
              </w:rPr>
              <w:tab/>
              <w:t>The minimum requirements for intra-band contiguous or non-contiguous EN-DC apply. The intra-band requirements also apply for these carriers when applicable EN-DC configuration is a subset of a higher order EN-DC configuration.</w:t>
            </w:r>
          </w:p>
          <w:p w14:paraId="73AA25BB" w14:textId="2411C8B5" w:rsidR="005D2D0E" w:rsidRDefault="005D2D0E" w:rsidP="005D2D0E">
            <w:pPr>
              <w:pStyle w:val="TAN"/>
            </w:pPr>
            <w:r w:rsidRPr="00E062F1">
              <w:t>NOTE 9:</w:t>
            </w:r>
            <w:r w:rsidRPr="00E062F1">
              <w:tab/>
              <w:t>The combination is not used alone as fall back mode of other band combinations in which UL in Band 42 is not used.</w:t>
            </w:r>
          </w:p>
          <w:p w14:paraId="594D7E00" w14:textId="4B35CB16" w:rsidR="00FC77C8" w:rsidRPr="00E062F1" w:rsidRDefault="00FC77C8" w:rsidP="00FC77C8">
            <w:pPr>
              <w:pStyle w:val="TAN"/>
              <w:keepNext w:val="0"/>
            </w:pPr>
            <w:r w:rsidRPr="00E062F1">
              <w:t>NOTE 10:</w:t>
            </w:r>
            <w:r w:rsidRPr="00E062F1">
              <w:tab/>
              <w:t>The maximum power spectral density imbalance between downlink carriers is within 6 dB. The power spectral density imbalance condition also applies for these carriers when applicable EN-DC configuration is a subset of a higher order EN-DC configuration.</w:t>
            </w:r>
          </w:p>
          <w:p w14:paraId="34F40525" w14:textId="5A1D444E" w:rsidR="005D2D0E" w:rsidRPr="005D2D0E" w:rsidRDefault="005D2D0E" w:rsidP="005D2D0E">
            <w:pPr>
              <w:pStyle w:val="TAN"/>
              <w:rPr>
                <w:lang w:val="en-GB"/>
              </w:rPr>
            </w:pPr>
            <w:r w:rsidRPr="00FC77C8">
              <w:rPr>
                <w:rStyle w:val="TANChar"/>
              </w:rPr>
              <w:t>NOTE 11:</w:t>
            </w:r>
            <w:r w:rsidRPr="00FC77C8">
              <w:tab/>
            </w:r>
            <w:r w:rsidRPr="00FC77C8">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2E5327B2" w14:textId="6C0540A2" w:rsidR="00F9230F" w:rsidRDefault="00F9230F" w:rsidP="005A7AA0">
      <w:pPr>
        <w:rPr>
          <w:lang w:val="en-GB"/>
        </w:rPr>
      </w:pPr>
    </w:p>
    <w:p w14:paraId="711BAA25" w14:textId="7CD01524" w:rsidR="001F67B5" w:rsidRPr="006D2913" w:rsidRDefault="006D2913" w:rsidP="005A7AA0">
      <w:pPr>
        <w:rPr>
          <w:lang w:val="en-GB"/>
        </w:rPr>
      </w:pPr>
      <w:r>
        <w:rPr>
          <w:lang w:val="en-GB"/>
        </w:rPr>
        <w:t xml:space="preserve">In our understanding, </w:t>
      </w:r>
      <w:r w:rsidR="0043717D">
        <w:rPr>
          <w:lang w:val="en-GB"/>
        </w:rPr>
        <w:t>NOTE</w:t>
      </w:r>
      <w:r>
        <w:rPr>
          <w:lang w:val="en-GB"/>
        </w:rPr>
        <w:t xml:space="preserve"> 4 assume the minimum (RF) requirements for the intra-band non-contiguous EN-DC applies to EN-DC of LTE band 42 and NR bands n77/n78 if UE does not indicate </w:t>
      </w:r>
      <w:r w:rsidRPr="00C41157">
        <w:rPr>
          <w:i/>
          <w:iCs/>
          <w:lang w:val="en-GB"/>
        </w:rPr>
        <w:t>interBandContiguousMRDC</w:t>
      </w:r>
      <w:r>
        <w:rPr>
          <w:lang w:val="en-GB"/>
        </w:rPr>
        <w:t xml:space="preserve">. </w:t>
      </w:r>
      <w:r w:rsidR="001F67B5">
        <w:rPr>
          <w:lang w:val="en-GB"/>
        </w:rPr>
        <w:t xml:space="preserve">Considering TS 38.306 and TS38.101-3, </w:t>
      </w:r>
      <w:r w:rsidR="003F49C6">
        <w:rPr>
          <w:lang w:val="en-GB"/>
        </w:rPr>
        <w:t xml:space="preserve">RAN4 should consider the UE capability </w:t>
      </w:r>
      <w:r w:rsidR="003F49C6" w:rsidRPr="00EE4277">
        <w:rPr>
          <w:i/>
          <w:iCs/>
          <w:lang w:val="en-GB"/>
        </w:rPr>
        <w:t>interBandContiguousMRDC</w:t>
      </w:r>
      <w:r w:rsidR="003F49C6">
        <w:rPr>
          <w:lang w:val="en-GB"/>
        </w:rPr>
        <w:t xml:space="preserve"> for the applicability of intra-band contiguous/non-contiguous EN-DC power imbalance tests. </w:t>
      </w:r>
    </w:p>
    <w:p w14:paraId="0D96F88C" w14:textId="1B85F121" w:rsidR="00EF6F19" w:rsidRPr="009B1421" w:rsidRDefault="0043227D" w:rsidP="00EF6F19">
      <w:pPr>
        <w:rPr>
          <w:b/>
          <w:bCs/>
          <w:lang w:val="en-GB"/>
        </w:rPr>
      </w:pPr>
      <w:r w:rsidRPr="009B1421">
        <w:rPr>
          <w:b/>
          <w:bCs/>
          <w:lang w:val="en-GB"/>
        </w:rPr>
        <w:t xml:space="preserve">Proposal </w:t>
      </w:r>
      <w:r w:rsidR="003978EB">
        <w:rPr>
          <w:b/>
          <w:bCs/>
          <w:lang w:val="en-GB"/>
        </w:rPr>
        <w:t>7</w:t>
      </w:r>
      <w:r w:rsidRPr="009B1421">
        <w:rPr>
          <w:b/>
          <w:bCs/>
          <w:lang w:val="en-GB"/>
        </w:rPr>
        <w:t xml:space="preserve">: </w:t>
      </w:r>
      <w:r w:rsidR="00EF6F19" w:rsidRPr="009B1421">
        <w:rPr>
          <w:b/>
          <w:bCs/>
          <w:lang w:val="en-GB"/>
        </w:rPr>
        <w:t xml:space="preserve">Set the applicability of EN-DC power imbalance test as follow: </w:t>
      </w:r>
    </w:p>
    <w:p w14:paraId="528A10D1" w14:textId="7EC096C4" w:rsidR="00EF6F19" w:rsidRPr="009B1421" w:rsidRDefault="00EF6F19" w:rsidP="00EF6F19">
      <w:pPr>
        <w:pStyle w:val="ListParagraph"/>
        <w:numPr>
          <w:ilvl w:val="0"/>
          <w:numId w:val="21"/>
        </w:numPr>
        <w:rPr>
          <w:b/>
          <w:bCs/>
          <w:lang w:val="en-GB"/>
        </w:rPr>
      </w:pPr>
      <w:r w:rsidRPr="009B1421">
        <w:rPr>
          <w:b/>
          <w:bCs/>
          <w:lang w:val="en-GB"/>
        </w:rPr>
        <w:t xml:space="preserve">If UE supports intra-band </w:t>
      </w:r>
      <w:r w:rsidRPr="00383D25">
        <w:rPr>
          <w:b/>
          <w:bCs/>
          <w:u w:val="single"/>
          <w:lang w:val="en-GB"/>
        </w:rPr>
        <w:t>contiguous</w:t>
      </w:r>
      <w:r w:rsidRPr="009B1421">
        <w:rPr>
          <w:b/>
          <w:bCs/>
          <w:lang w:val="en-GB"/>
        </w:rPr>
        <w:t xml:space="preserve"> EN-DC</w:t>
      </w:r>
      <w:r w:rsidR="00493F36" w:rsidRPr="009B1421">
        <w:rPr>
          <w:b/>
          <w:bCs/>
          <w:lang w:val="en-GB"/>
        </w:rPr>
        <w:t xml:space="preserve"> only</w:t>
      </w:r>
      <w:r w:rsidRPr="009B1421">
        <w:rPr>
          <w:b/>
          <w:bCs/>
          <w:lang w:val="en-GB"/>
        </w:rPr>
        <w:t>, i.e., if UE does not indicate “intraBandENDC-Support”,</w:t>
      </w:r>
    </w:p>
    <w:p w14:paraId="78357C4D" w14:textId="77777777" w:rsidR="00493F36" w:rsidRPr="009B1421" w:rsidRDefault="00EF6F19" w:rsidP="00EF6F19">
      <w:pPr>
        <w:pStyle w:val="ListParagraph"/>
        <w:numPr>
          <w:ilvl w:val="1"/>
          <w:numId w:val="21"/>
        </w:numPr>
        <w:rPr>
          <w:b/>
          <w:bCs/>
          <w:lang w:val="en-GB"/>
        </w:rPr>
      </w:pPr>
      <w:r w:rsidRPr="009B1421">
        <w:rPr>
          <w:b/>
          <w:bCs/>
          <w:lang w:val="en-GB"/>
        </w:rPr>
        <w:t xml:space="preserve">Power imbalance requirement for intra-band </w:t>
      </w:r>
      <w:r w:rsidRPr="009B1421">
        <w:rPr>
          <w:b/>
          <w:bCs/>
          <w:u w:val="single"/>
          <w:lang w:val="en-GB"/>
        </w:rPr>
        <w:t>contiguous</w:t>
      </w:r>
      <w:r w:rsidRPr="009B1421">
        <w:rPr>
          <w:b/>
          <w:bCs/>
          <w:lang w:val="en-GB"/>
        </w:rPr>
        <w:t xml:space="preserve"> EN-DC is applied</w:t>
      </w:r>
    </w:p>
    <w:p w14:paraId="4EAA6A48" w14:textId="77777777" w:rsidR="00493F36" w:rsidRPr="009B1421" w:rsidRDefault="00493F36" w:rsidP="00EF6F19">
      <w:pPr>
        <w:pStyle w:val="ListParagraph"/>
        <w:numPr>
          <w:ilvl w:val="0"/>
          <w:numId w:val="21"/>
        </w:numPr>
        <w:rPr>
          <w:b/>
          <w:bCs/>
          <w:lang w:val="en-GB"/>
        </w:rPr>
      </w:pPr>
      <w:r w:rsidRPr="009B1421">
        <w:rPr>
          <w:b/>
          <w:bCs/>
          <w:lang w:val="en-GB"/>
        </w:rPr>
        <w:t xml:space="preserve">If </w:t>
      </w:r>
      <w:r w:rsidR="00EF6F19" w:rsidRPr="009B1421">
        <w:rPr>
          <w:b/>
          <w:bCs/>
          <w:lang w:val="en-GB"/>
        </w:rPr>
        <w:t xml:space="preserve">UE supports intra-band </w:t>
      </w:r>
      <w:r w:rsidR="00EF6F19" w:rsidRPr="00383D25">
        <w:rPr>
          <w:b/>
          <w:bCs/>
          <w:u w:val="single"/>
          <w:lang w:val="en-GB"/>
        </w:rPr>
        <w:t>non-contiguous</w:t>
      </w:r>
      <w:r w:rsidR="00EF6F19" w:rsidRPr="009B1421">
        <w:rPr>
          <w:b/>
          <w:bCs/>
          <w:lang w:val="en-GB"/>
        </w:rPr>
        <w:t xml:space="preserve"> EN-DC</w:t>
      </w:r>
      <w:r w:rsidRPr="009B1421">
        <w:rPr>
          <w:b/>
          <w:bCs/>
          <w:lang w:val="en-GB"/>
        </w:rPr>
        <w:t xml:space="preserve"> only</w:t>
      </w:r>
      <w:r w:rsidR="00EF6F19" w:rsidRPr="009B1421">
        <w:rPr>
          <w:b/>
          <w:bCs/>
          <w:lang w:val="en-GB"/>
        </w:rPr>
        <w:t>, i.e., if UE indicates “non-contiguous” in “intraBandENDC-Support” or UE does not indicate “interBandContiguousMRDC”,</w:t>
      </w:r>
    </w:p>
    <w:p w14:paraId="6B780E77" w14:textId="77777777" w:rsidR="00493F36" w:rsidRPr="009B1421" w:rsidRDefault="00493F36" w:rsidP="00EF6F19">
      <w:pPr>
        <w:pStyle w:val="ListParagraph"/>
        <w:numPr>
          <w:ilvl w:val="1"/>
          <w:numId w:val="21"/>
        </w:numPr>
        <w:rPr>
          <w:b/>
          <w:bCs/>
          <w:lang w:val="en-GB"/>
        </w:rPr>
      </w:pPr>
      <w:r w:rsidRPr="009B1421">
        <w:rPr>
          <w:b/>
          <w:bCs/>
          <w:lang w:val="en-GB"/>
        </w:rPr>
        <w:t>P</w:t>
      </w:r>
      <w:r w:rsidR="00EF6F19" w:rsidRPr="009B1421">
        <w:rPr>
          <w:b/>
          <w:bCs/>
          <w:lang w:val="en-GB"/>
        </w:rPr>
        <w:t xml:space="preserve">ower imbalance requirement for intra-band </w:t>
      </w:r>
      <w:r w:rsidR="00EF6F19" w:rsidRPr="009B1421">
        <w:rPr>
          <w:b/>
          <w:bCs/>
          <w:u w:val="single"/>
          <w:lang w:val="en-GB"/>
        </w:rPr>
        <w:t>non-contiguous</w:t>
      </w:r>
      <w:r w:rsidR="00EF6F19" w:rsidRPr="009B1421">
        <w:rPr>
          <w:b/>
          <w:bCs/>
          <w:lang w:val="en-GB"/>
        </w:rPr>
        <w:t xml:space="preserve"> EN-DC is applied</w:t>
      </w:r>
    </w:p>
    <w:p w14:paraId="2FF43E4A" w14:textId="77777777" w:rsidR="00493F36" w:rsidRPr="009B1421" w:rsidRDefault="00493F36" w:rsidP="00EF6F19">
      <w:pPr>
        <w:pStyle w:val="ListParagraph"/>
        <w:numPr>
          <w:ilvl w:val="0"/>
          <w:numId w:val="21"/>
        </w:numPr>
        <w:rPr>
          <w:b/>
          <w:bCs/>
          <w:lang w:val="en-GB"/>
        </w:rPr>
      </w:pPr>
      <w:r w:rsidRPr="009B1421">
        <w:rPr>
          <w:b/>
          <w:bCs/>
          <w:lang w:val="en-GB"/>
        </w:rPr>
        <w:t xml:space="preserve">If </w:t>
      </w:r>
      <w:r w:rsidR="00EF6F19" w:rsidRPr="009B1421">
        <w:rPr>
          <w:b/>
          <w:bCs/>
          <w:lang w:val="en-GB"/>
        </w:rPr>
        <w:t xml:space="preserve">UE supports both intra-band </w:t>
      </w:r>
      <w:r w:rsidR="00EF6F19" w:rsidRPr="00383D25">
        <w:rPr>
          <w:b/>
          <w:bCs/>
          <w:u w:val="single"/>
          <w:lang w:val="en-GB"/>
        </w:rPr>
        <w:t>contiguous</w:t>
      </w:r>
      <w:r w:rsidR="00EF6F19" w:rsidRPr="009B1421">
        <w:rPr>
          <w:b/>
          <w:bCs/>
          <w:lang w:val="en-GB"/>
        </w:rPr>
        <w:t xml:space="preserve"> and </w:t>
      </w:r>
      <w:r w:rsidR="00EF6F19" w:rsidRPr="00383D25">
        <w:rPr>
          <w:b/>
          <w:bCs/>
          <w:u w:val="single"/>
          <w:lang w:val="en-GB"/>
        </w:rPr>
        <w:t>non-contiguous</w:t>
      </w:r>
      <w:r w:rsidR="00EF6F19" w:rsidRPr="009B1421">
        <w:rPr>
          <w:b/>
          <w:bCs/>
          <w:lang w:val="en-GB"/>
        </w:rPr>
        <w:t xml:space="preserve"> EN-DC, i.e., if UE indicates “both” in “intraBandENDC-Support” or UE indicates “interBandContiguousMRDC”,  </w:t>
      </w:r>
    </w:p>
    <w:p w14:paraId="602135DC" w14:textId="1A8E227C" w:rsidR="0043227D" w:rsidRPr="00493F36" w:rsidRDefault="00493F36" w:rsidP="00493F36">
      <w:pPr>
        <w:pStyle w:val="ListParagraph"/>
        <w:numPr>
          <w:ilvl w:val="1"/>
          <w:numId w:val="21"/>
        </w:numPr>
        <w:rPr>
          <w:lang w:val="en-GB"/>
        </w:rPr>
      </w:pPr>
      <w:r w:rsidRPr="009B1421">
        <w:rPr>
          <w:b/>
          <w:bCs/>
          <w:lang w:val="en-GB"/>
        </w:rPr>
        <w:t>P</w:t>
      </w:r>
      <w:r w:rsidR="00EF6F19" w:rsidRPr="009B1421">
        <w:rPr>
          <w:b/>
          <w:bCs/>
          <w:lang w:val="en-GB"/>
        </w:rPr>
        <w:t xml:space="preserve">ower imbalance requirement for intra-band </w:t>
      </w:r>
      <w:r w:rsidR="00EF6F19" w:rsidRPr="009B1421">
        <w:rPr>
          <w:b/>
          <w:bCs/>
          <w:u w:val="single"/>
          <w:lang w:val="en-GB"/>
        </w:rPr>
        <w:t>contiguous</w:t>
      </w:r>
      <w:r w:rsidR="00EF6F19" w:rsidRPr="009B1421">
        <w:rPr>
          <w:b/>
          <w:bCs/>
          <w:lang w:val="en-GB"/>
        </w:rPr>
        <w:t xml:space="preserve"> EN-DC</w:t>
      </w:r>
      <w:r w:rsidR="00463D94">
        <w:rPr>
          <w:b/>
          <w:bCs/>
          <w:lang w:val="en-GB"/>
        </w:rPr>
        <w:t xml:space="preserve"> is applied</w:t>
      </w:r>
      <w:r w:rsidR="00774906">
        <w:rPr>
          <w:b/>
          <w:bCs/>
          <w:lang w:val="en-GB"/>
        </w:rPr>
        <w:t>.</w:t>
      </w:r>
    </w:p>
    <w:p w14:paraId="341731E3" w14:textId="46012118" w:rsidR="001B606B" w:rsidRDefault="00284502" w:rsidP="000B25C6">
      <w:pPr>
        <w:pStyle w:val="Heading1"/>
        <w:rPr>
          <w:lang w:val="en-US"/>
        </w:rPr>
      </w:pPr>
      <w:r w:rsidRPr="00442065">
        <w:rPr>
          <w:lang w:val="en-US"/>
        </w:rPr>
        <w:lastRenderedPageBreak/>
        <w:t>3</w:t>
      </w:r>
      <w:r w:rsidRPr="00442065">
        <w:rPr>
          <w:lang w:val="en-US"/>
        </w:rPr>
        <w:tab/>
        <w:t>Summary</w:t>
      </w:r>
    </w:p>
    <w:p w14:paraId="2028591D" w14:textId="77777777" w:rsidR="000008EC" w:rsidRPr="00BB176A" w:rsidRDefault="000008EC" w:rsidP="000008EC">
      <w:pPr>
        <w:rPr>
          <w:b/>
          <w:bCs/>
          <w:lang w:val="en-GB"/>
        </w:rPr>
      </w:pPr>
      <w:r w:rsidRPr="00BB176A">
        <w:rPr>
          <w:b/>
          <w:bCs/>
          <w:lang w:val="en-GB"/>
        </w:rPr>
        <w:t xml:space="preserve">Proposal </w:t>
      </w:r>
      <w:r>
        <w:rPr>
          <w:b/>
          <w:bCs/>
          <w:lang w:val="en-GB"/>
        </w:rPr>
        <w:t>1</w:t>
      </w:r>
      <w:r w:rsidRPr="00BB176A">
        <w:rPr>
          <w:b/>
          <w:bCs/>
          <w:lang w:val="en-GB"/>
        </w:rPr>
        <w:t xml:space="preserve">: </w:t>
      </w:r>
      <w:r>
        <w:rPr>
          <w:b/>
          <w:bCs/>
          <w:lang w:val="en-GB"/>
        </w:rPr>
        <w:t>Configure</w:t>
      </w:r>
      <w:r w:rsidRPr="00BB176A">
        <w:rPr>
          <w:b/>
          <w:bCs/>
          <w:lang w:val="en-GB"/>
        </w:rPr>
        <w:t xml:space="preserve"> MCS 27 for 2Rx and MCS 28 for 4Rx</w:t>
      </w:r>
      <w:r>
        <w:rPr>
          <w:b/>
          <w:bCs/>
          <w:lang w:val="en-GB"/>
        </w:rPr>
        <w:t xml:space="preserve"> for intra-band contiguous CA test with power imbalance.</w:t>
      </w:r>
    </w:p>
    <w:p w14:paraId="748EF60C" w14:textId="77777777" w:rsidR="00CE68EE" w:rsidRPr="00C43CC9" w:rsidRDefault="00CE68EE" w:rsidP="00CE68EE">
      <w:pPr>
        <w:rPr>
          <w:b/>
          <w:bCs/>
          <w:lang w:val="en-GB"/>
        </w:rPr>
      </w:pPr>
      <w:r w:rsidRPr="00C43CC9">
        <w:rPr>
          <w:b/>
          <w:bCs/>
          <w:lang w:val="en-GB"/>
        </w:rPr>
        <w:t xml:space="preserve">Proposal </w:t>
      </w:r>
      <w:r>
        <w:rPr>
          <w:b/>
          <w:bCs/>
          <w:lang w:val="en-GB"/>
        </w:rPr>
        <w:t>2</w:t>
      </w:r>
      <w:r w:rsidRPr="00C43CC9">
        <w:rPr>
          <w:b/>
          <w:bCs/>
          <w:lang w:val="en-GB"/>
        </w:rPr>
        <w:t xml:space="preserve">: Apply the following applicability rule for NR intra-band contiguous CA with power imbalance scenario: </w:t>
      </w:r>
    </w:p>
    <w:p w14:paraId="2B82191B" w14:textId="77777777" w:rsidR="00CE68EE" w:rsidRPr="00C43CC9" w:rsidRDefault="00CE68EE" w:rsidP="00CE68EE">
      <w:pPr>
        <w:pStyle w:val="ListParagraph"/>
        <w:numPr>
          <w:ilvl w:val="0"/>
          <w:numId w:val="23"/>
        </w:numPr>
        <w:rPr>
          <w:b/>
          <w:bCs/>
          <w:lang w:val="en-GB"/>
        </w:rPr>
      </w:pPr>
      <w:r w:rsidRPr="00C43CC9">
        <w:rPr>
          <w:b/>
          <w:bCs/>
          <w:lang w:val="en-GB"/>
        </w:rPr>
        <w:t>For FDD CA power imbalance tests, if they are tested with FDD intra-band contiguous CA configurations with 2 DL CCs, the test coverage can be considered fulfilled with FDD intra-band contiguous CA configurations with 3 or more DL CCs supported by the UE.</w:t>
      </w:r>
    </w:p>
    <w:p w14:paraId="3909E645" w14:textId="77777777" w:rsidR="00CE68EE" w:rsidRPr="00C43CC9" w:rsidRDefault="00CE68EE" w:rsidP="00CE68EE">
      <w:pPr>
        <w:pStyle w:val="ListParagraph"/>
        <w:numPr>
          <w:ilvl w:val="0"/>
          <w:numId w:val="23"/>
        </w:numPr>
        <w:rPr>
          <w:b/>
          <w:bCs/>
          <w:lang w:val="en-GB"/>
        </w:rPr>
      </w:pPr>
      <w:r w:rsidRPr="00C43CC9">
        <w:rPr>
          <w:b/>
          <w:bCs/>
          <w:lang w:val="en-GB"/>
        </w:rPr>
        <w:t>For FDD CA power imbalance tests with 2 DL CCs, test only the supported intra-band contiguous CA configurations covering the lowest and highest operating bands.</w:t>
      </w:r>
    </w:p>
    <w:p w14:paraId="4BD3A727" w14:textId="77777777" w:rsidR="00CE68EE" w:rsidRPr="00C43CC9" w:rsidRDefault="00CE68EE" w:rsidP="00CE68EE">
      <w:pPr>
        <w:pStyle w:val="ListParagraph"/>
        <w:numPr>
          <w:ilvl w:val="0"/>
          <w:numId w:val="23"/>
        </w:numPr>
        <w:rPr>
          <w:b/>
          <w:bCs/>
          <w:lang w:val="en-GB"/>
        </w:rPr>
      </w:pPr>
      <w:r w:rsidRPr="00C43CC9">
        <w:rPr>
          <w:b/>
          <w:bCs/>
          <w:lang w:val="en-GB"/>
        </w:rPr>
        <w:t>For TDD CA power imbalance tests, if they are tested with TDD intra-band contiguous CA configurations with 2 DL CCs, the test coverage can be considered fulfilled with TDD intra-band contiguous CA configurations with 3 or more DL CCs supported by the UE.</w:t>
      </w:r>
    </w:p>
    <w:p w14:paraId="345F6D29" w14:textId="10565DFF" w:rsidR="000B25C6" w:rsidRPr="00A71BDD" w:rsidRDefault="00CE68EE" w:rsidP="001026D2">
      <w:pPr>
        <w:pStyle w:val="ListParagraph"/>
        <w:numPr>
          <w:ilvl w:val="0"/>
          <w:numId w:val="23"/>
        </w:numPr>
        <w:rPr>
          <w:b/>
          <w:bCs/>
          <w:lang w:val="en-GB"/>
        </w:rPr>
      </w:pPr>
      <w:r w:rsidRPr="00C43CC9">
        <w:rPr>
          <w:b/>
          <w:bCs/>
          <w:lang w:val="en-GB"/>
        </w:rPr>
        <w:t>For TDD CA power imbalance tests with 2 DL CCs, test only the supported intra-band contiguous CA configurations covering the lowest and highest operating bands.</w:t>
      </w:r>
    </w:p>
    <w:p w14:paraId="4B8CCCCD" w14:textId="77777777" w:rsidR="00A71BDD" w:rsidRPr="0033770A" w:rsidRDefault="00A71BDD" w:rsidP="00A71BDD">
      <w:pPr>
        <w:rPr>
          <w:lang w:val="en-GB"/>
        </w:rPr>
      </w:pPr>
      <w:r w:rsidRPr="00BB176A">
        <w:rPr>
          <w:b/>
          <w:bCs/>
          <w:lang w:val="en-GB"/>
        </w:rPr>
        <w:t xml:space="preserve">Proposal </w:t>
      </w:r>
      <w:r>
        <w:rPr>
          <w:b/>
          <w:bCs/>
          <w:lang w:val="en-GB"/>
        </w:rPr>
        <w:t>3</w:t>
      </w:r>
      <w:r w:rsidRPr="00BB176A">
        <w:rPr>
          <w:b/>
          <w:bCs/>
          <w:lang w:val="en-GB"/>
        </w:rPr>
        <w:t xml:space="preserve">: </w:t>
      </w:r>
      <w:r>
        <w:rPr>
          <w:b/>
          <w:bCs/>
          <w:lang w:val="en-GB"/>
        </w:rPr>
        <w:t>Configure</w:t>
      </w:r>
      <w:r w:rsidRPr="00BB176A">
        <w:rPr>
          <w:b/>
          <w:bCs/>
          <w:lang w:val="en-GB"/>
        </w:rPr>
        <w:t xml:space="preserve"> MCS 27 for 2Rx and MCS 28 for 4Rx</w:t>
      </w:r>
      <w:r>
        <w:rPr>
          <w:b/>
          <w:bCs/>
          <w:lang w:val="en-GB"/>
        </w:rPr>
        <w:t xml:space="preserve"> for intra-band contiguous NE-DC test with power imbalance.</w:t>
      </w:r>
    </w:p>
    <w:p w14:paraId="2B1F9F66" w14:textId="7A4DBB8C" w:rsidR="009B6F45" w:rsidRDefault="009B6F45" w:rsidP="009B6F45">
      <w:pPr>
        <w:rPr>
          <w:b/>
          <w:bCs/>
          <w:lang w:val="en-GB"/>
        </w:rPr>
      </w:pPr>
      <w:r w:rsidRPr="00CC46E6">
        <w:rPr>
          <w:b/>
          <w:bCs/>
          <w:lang w:val="en-GB"/>
        </w:rPr>
        <w:t xml:space="preserve">Proposal </w:t>
      </w:r>
      <w:r>
        <w:rPr>
          <w:b/>
          <w:bCs/>
          <w:lang w:val="en-GB"/>
        </w:rPr>
        <w:t>4</w:t>
      </w:r>
      <w:r w:rsidRPr="00CC46E6">
        <w:rPr>
          <w:b/>
          <w:bCs/>
          <w:lang w:val="en-GB"/>
        </w:rPr>
        <w:t>: Adopt the following procedure to select the CBW combination for intra-band non-contiguous EN-DC power imbalance test.</w:t>
      </w:r>
    </w:p>
    <w:tbl>
      <w:tblPr>
        <w:tblStyle w:val="TableGrid"/>
        <w:tblW w:w="0" w:type="auto"/>
        <w:tblLook w:val="04A0" w:firstRow="1" w:lastRow="0" w:firstColumn="1" w:lastColumn="0" w:noHBand="0" w:noVBand="1"/>
      </w:tblPr>
      <w:tblGrid>
        <w:gridCol w:w="9629"/>
      </w:tblGrid>
      <w:tr w:rsidR="009B6F45" w14:paraId="6BFAEC80" w14:textId="77777777" w:rsidTr="00174A0A">
        <w:tc>
          <w:tcPr>
            <w:tcW w:w="9629" w:type="dxa"/>
          </w:tcPr>
          <w:p w14:paraId="7732D269" w14:textId="77777777" w:rsidR="009B6F45" w:rsidRDefault="009B6F45" w:rsidP="00174A0A">
            <w:pPr>
              <w:rPr>
                <w:lang w:val="en-GB"/>
              </w:rPr>
            </w:pPr>
            <w:r w:rsidRPr="00A03F54">
              <w:rPr>
                <w:b/>
                <w:bCs/>
                <w:lang w:val="en-GB"/>
              </w:rPr>
              <w:t>Step 1:</w:t>
            </w:r>
            <w:r w:rsidRPr="00A03F54">
              <w:rPr>
                <w:lang w:val="en-GB"/>
              </w:rPr>
              <w:t xml:space="preserve"> First select the CBW combinations with the same BWs between LTE carrier (single carrier or aggregated contiguous carriers) and NR carrier. If there is no such CBW combination</w:t>
            </w:r>
            <w:r>
              <w:rPr>
                <w:lang w:val="en-GB"/>
              </w:rPr>
              <w:t>, go to step 1-1. Otherwise go to step 2.</w:t>
            </w:r>
          </w:p>
          <w:p w14:paraId="73BEF57C" w14:textId="77777777" w:rsidR="009B6F45" w:rsidRDefault="009B6F45" w:rsidP="00174A0A">
            <w:pPr>
              <w:rPr>
                <w:lang w:val="en-GB"/>
              </w:rPr>
            </w:pPr>
            <w:r w:rsidRPr="003655F2">
              <w:rPr>
                <w:b/>
                <w:bCs/>
                <w:lang w:val="en-GB"/>
              </w:rPr>
              <w:t>Step 1-1</w:t>
            </w:r>
            <w:r>
              <w:rPr>
                <w:lang w:val="en-GB"/>
              </w:rPr>
              <w:t xml:space="preserve">: </w:t>
            </w:r>
            <w:r w:rsidRPr="00D968F8">
              <w:rPr>
                <w:lang w:val="en-GB"/>
              </w:rPr>
              <w:t xml:space="preserve">Select the CBW combinations that the BW of NR carrier is smaller than the BW of </w:t>
            </w:r>
            <w:r>
              <w:rPr>
                <w:lang w:val="en-GB"/>
              </w:rPr>
              <w:t xml:space="preserve">(aggregated) </w:t>
            </w:r>
            <w:r w:rsidRPr="00D968F8">
              <w:rPr>
                <w:lang w:val="en-GB"/>
              </w:rPr>
              <w:t>LTE carrier</w:t>
            </w:r>
            <w:r>
              <w:rPr>
                <w:lang w:val="en-GB"/>
              </w:rPr>
              <w:t>(s). Go to step 1-2 if the CBW combination found. If no such a combination, go to step 1-3.</w:t>
            </w:r>
          </w:p>
          <w:p w14:paraId="7FDC9340" w14:textId="77777777" w:rsidR="009B6F45" w:rsidRDefault="009B6F45" w:rsidP="00174A0A">
            <w:pPr>
              <w:rPr>
                <w:lang w:val="en-GB"/>
              </w:rPr>
            </w:pPr>
            <w:r w:rsidRPr="003655F2">
              <w:rPr>
                <w:b/>
                <w:bCs/>
                <w:lang w:val="en-GB"/>
              </w:rPr>
              <w:t>Step 1-2</w:t>
            </w:r>
            <w:r>
              <w:rPr>
                <w:lang w:val="en-GB"/>
              </w:rPr>
              <w:t xml:space="preserve">: </w:t>
            </w:r>
            <w:r w:rsidRPr="004F453C">
              <w:rPr>
                <w:lang w:val="en-GB"/>
              </w:rPr>
              <w:t>Among the CBW combinations selected from Step 1</w:t>
            </w:r>
            <w:r>
              <w:rPr>
                <w:lang w:val="en-GB"/>
              </w:rPr>
              <w:t>-1</w:t>
            </w:r>
            <w:r w:rsidRPr="004F453C">
              <w:rPr>
                <w:lang w:val="en-GB"/>
              </w:rPr>
              <w:t xml:space="preserve">, select the CBW combinations with the smallest CBW difference between NR carrier and </w:t>
            </w:r>
            <w:r>
              <w:rPr>
                <w:lang w:val="en-GB"/>
              </w:rPr>
              <w:t xml:space="preserve">(aggregated) </w:t>
            </w:r>
            <w:r w:rsidRPr="004F453C">
              <w:rPr>
                <w:lang w:val="en-GB"/>
              </w:rPr>
              <w:t>LTE carrier(s)</w:t>
            </w:r>
            <w:r>
              <w:rPr>
                <w:lang w:val="en-GB"/>
              </w:rPr>
              <w:t xml:space="preserve">. Go to step 2. </w:t>
            </w:r>
          </w:p>
          <w:p w14:paraId="4C09EC2B" w14:textId="77777777" w:rsidR="009B6F45" w:rsidRDefault="009B6F45" w:rsidP="00174A0A">
            <w:pPr>
              <w:rPr>
                <w:lang w:val="en-GB"/>
              </w:rPr>
            </w:pPr>
            <w:r w:rsidRPr="000318C2">
              <w:rPr>
                <w:b/>
                <w:bCs/>
                <w:lang w:val="en-GB"/>
              </w:rPr>
              <w:t>Step 1-3</w:t>
            </w:r>
            <w:r>
              <w:rPr>
                <w:lang w:val="en-GB"/>
              </w:rPr>
              <w:t>: S</w:t>
            </w:r>
            <w:r w:rsidRPr="003655F2">
              <w:rPr>
                <w:lang w:val="en-GB"/>
              </w:rPr>
              <w:t xml:space="preserve">elect the EN-DC combinations with smallest CBW difference between the NR carrier and </w:t>
            </w:r>
            <w:r>
              <w:rPr>
                <w:lang w:val="en-GB"/>
              </w:rPr>
              <w:t xml:space="preserve">(aggregated) </w:t>
            </w:r>
            <w:r w:rsidRPr="003655F2">
              <w:rPr>
                <w:lang w:val="en-GB"/>
              </w:rPr>
              <w:t>LTE carrier(s).</w:t>
            </w:r>
            <w:r>
              <w:rPr>
                <w:lang w:val="en-GB"/>
              </w:rPr>
              <w:t xml:space="preserve"> Go to step 2.</w:t>
            </w:r>
          </w:p>
          <w:p w14:paraId="33B61972" w14:textId="77777777" w:rsidR="009B6F45" w:rsidRPr="00D20CBA" w:rsidRDefault="009B6F45" w:rsidP="00174A0A">
            <w:pPr>
              <w:rPr>
                <w:lang w:val="en-GB"/>
              </w:rPr>
            </w:pPr>
            <w:r w:rsidRPr="00E9769E">
              <w:rPr>
                <w:b/>
                <w:bCs/>
                <w:lang w:val="en-GB"/>
              </w:rPr>
              <w:t>Step 2:</w:t>
            </w:r>
            <w:r>
              <w:rPr>
                <w:lang w:val="en-GB"/>
              </w:rPr>
              <w:t xml:space="preserve"> </w:t>
            </w:r>
            <w:r w:rsidRPr="00362959">
              <w:rPr>
                <w:lang w:val="en-GB"/>
              </w:rPr>
              <w:t>Among the CBW combinations selected from Step 1, select the EN-DC combination with the largest aggregated CBW</w:t>
            </w:r>
            <w:r>
              <w:rPr>
                <w:lang w:val="en-GB"/>
              </w:rPr>
              <w:t>.</w:t>
            </w:r>
          </w:p>
        </w:tc>
      </w:tr>
    </w:tbl>
    <w:p w14:paraId="61E93B17" w14:textId="0DEFC6EE" w:rsidR="00A71BDD" w:rsidRDefault="00A71BDD" w:rsidP="001026D2">
      <w:pPr>
        <w:rPr>
          <w:b/>
          <w:bCs/>
        </w:rPr>
      </w:pPr>
    </w:p>
    <w:p w14:paraId="5CF225F9" w14:textId="77777777" w:rsidR="004242DC" w:rsidRPr="00086EC2" w:rsidRDefault="004242DC" w:rsidP="004242DC">
      <w:pPr>
        <w:rPr>
          <w:b/>
          <w:bCs/>
          <w:lang w:val="en-GB"/>
        </w:rPr>
      </w:pPr>
      <w:r w:rsidRPr="00086EC2">
        <w:rPr>
          <w:b/>
          <w:bCs/>
          <w:lang w:val="en-GB"/>
        </w:rPr>
        <w:t xml:space="preserve">Proposal </w:t>
      </w:r>
      <w:r>
        <w:rPr>
          <w:b/>
          <w:bCs/>
          <w:lang w:val="en-GB"/>
        </w:rPr>
        <w:t>5</w:t>
      </w:r>
      <w:r w:rsidRPr="00086EC2">
        <w:rPr>
          <w:b/>
          <w:bCs/>
          <w:lang w:val="en-GB"/>
        </w:rPr>
        <w:t>: Allocate full PRB for intra-band non-contiguous EN-DC power imbalanced test.</w:t>
      </w:r>
    </w:p>
    <w:p w14:paraId="01F79692" w14:textId="72B3EED9" w:rsidR="005663F6" w:rsidRPr="00682870" w:rsidRDefault="005663F6" w:rsidP="005663F6">
      <w:pPr>
        <w:rPr>
          <w:b/>
          <w:bCs/>
          <w:lang w:val="en-GB"/>
        </w:rPr>
      </w:pPr>
      <w:r w:rsidRPr="00682870">
        <w:rPr>
          <w:b/>
          <w:bCs/>
          <w:lang w:val="en-GB"/>
        </w:rPr>
        <w:t>Proposal</w:t>
      </w:r>
      <w:r>
        <w:rPr>
          <w:b/>
          <w:bCs/>
          <w:lang w:val="en-GB"/>
        </w:rPr>
        <w:t xml:space="preserve"> 6</w:t>
      </w:r>
      <w:r w:rsidRPr="00682870">
        <w:rPr>
          <w:b/>
          <w:bCs/>
          <w:lang w:val="en-GB"/>
        </w:rPr>
        <w:t>: For intra-band non-contiguous EN-DC test with power imbalance, RAN4</w:t>
      </w:r>
      <w:r w:rsidR="009D2A7B">
        <w:rPr>
          <w:b/>
          <w:bCs/>
          <w:lang w:val="en-GB"/>
        </w:rPr>
        <w:t xml:space="preserve"> demodulation requirements</w:t>
      </w:r>
      <w:r w:rsidRPr="00682870">
        <w:rPr>
          <w:b/>
          <w:bCs/>
          <w:lang w:val="en-GB"/>
        </w:rPr>
        <w:t xml:space="preserve"> assume LO is set in the middle of two carriers</w:t>
      </w:r>
      <w:r>
        <w:rPr>
          <w:b/>
          <w:bCs/>
          <w:lang w:val="en-GB"/>
        </w:rPr>
        <w:t>, but it is up to UE implementation.</w:t>
      </w:r>
    </w:p>
    <w:p w14:paraId="714D897F" w14:textId="77777777" w:rsidR="00383D25" w:rsidRPr="009B1421" w:rsidRDefault="00383D25" w:rsidP="00383D25">
      <w:pPr>
        <w:rPr>
          <w:b/>
          <w:bCs/>
          <w:lang w:val="en-GB"/>
        </w:rPr>
      </w:pPr>
      <w:r w:rsidRPr="009B1421">
        <w:rPr>
          <w:b/>
          <w:bCs/>
          <w:lang w:val="en-GB"/>
        </w:rPr>
        <w:t xml:space="preserve">Proposal </w:t>
      </w:r>
      <w:r>
        <w:rPr>
          <w:b/>
          <w:bCs/>
          <w:lang w:val="en-GB"/>
        </w:rPr>
        <w:t>7</w:t>
      </w:r>
      <w:r w:rsidRPr="009B1421">
        <w:rPr>
          <w:b/>
          <w:bCs/>
          <w:lang w:val="en-GB"/>
        </w:rPr>
        <w:t xml:space="preserve">: Set the applicability of EN-DC power imbalance test as follow: </w:t>
      </w:r>
    </w:p>
    <w:p w14:paraId="46A0CFF6" w14:textId="77777777" w:rsidR="00383D25" w:rsidRPr="009B1421" w:rsidRDefault="00383D25" w:rsidP="00383D25">
      <w:pPr>
        <w:pStyle w:val="ListParagraph"/>
        <w:numPr>
          <w:ilvl w:val="0"/>
          <w:numId w:val="21"/>
        </w:numPr>
        <w:rPr>
          <w:b/>
          <w:bCs/>
          <w:lang w:val="en-GB"/>
        </w:rPr>
      </w:pPr>
      <w:r w:rsidRPr="009B1421">
        <w:rPr>
          <w:b/>
          <w:bCs/>
          <w:lang w:val="en-GB"/>
        </w:rPr>
        <w:t xml:space="preserve">If UE supports intra-band </w:t>
      </w:r>
      <w:r w:rsidRPr="00383D25">
        <w:rPr>
          <w:b/>
          <w:bCs/>
          <w:u w:val="single"/>
          <w:lang w:val="en-GB"/>
        </w:rPr>
        <w:t>contiguous</w:t>
      </w:r>
      <w:r w:rsidRPr="009B1421">
        <w:rPr>
          <w:b/>
          <w:bCs/>
          <w:lang w:val="en-GB"/>
        </w:rPr>
        <w:t xml:space="preserve"> EN-DC only, i.e., if UE does not indicate “intraBandENDC-Support”,</w:t>
      </w:r>
    </w:p>
    <w:p w14:paraId="2256EFE7" w14:textId="77777777" w:rsidR="00383D25" w:rsidRPr="009B1421" w:rsidRDefault="00383D25" w:rsidP="00383D25">
      <w:pPr>
        <w:pStyle w:val="ListParagraph"/>
        <w:numPr>
          <w:ilvl w:val="1"/>
          <w:numId w:val="21"/>
        </w:numPr>
        <w:rPr>
          <w:b/>
          <w:bCs/>
          <w:lang w:val="en-GB"/>
        </w:rPr>
      </w:pPr>
      <w:r w:rsidRPr="009B1421">
        <w:rPr>
          <w:b/>
          <w:bCs/>
          <w:lang w:val="en-GB"/>
        </w:rPr>
        <w:lastRenderedPageBreak/>
        <w:t xml:space="preserve">Power imbalance requirement for intra-band </w:t>
      </w:r>
      <w:r w:rsidRPr="009B1421">
        <w:rPr>
          <w:b/>
          <w:bCs/>
          <w:u w:val="single"/>
          <w:lang w:val="en-GB"/>
        </w:rPr>
        <w:t>contiguous</w:t>
      </w:r>
      <w:r w:rsidRPr="009B1421">
        <w:rPr>
          <w:b/>
          <w:bCs/>
          <w:lang w:val="en-GB"/>
        </w:rPr>
        <w:t xml:space="preserve"> EN-DC is applied</w:t>
      </w:r>
    </w:p>
    <w:p w14:paraId="7C3E3B18" w14:textId="77777777" w:rsidR="00383D25" w:rsidRPr="009B1421" w:rsidRDefault="00383D25" w:rsidP="00383D25">
      <w:pPr>
        <w:pStyle w:val="ListParagraph"/>
        <w:numPr>
          <w:ilvl w:val="0"/>
          <w:numId w:val="21"/>
        </w:numPr>
        <w:rPr>
          <w:b/>
          <w:bCs/>
          <w:lang w:val="en-GB"/>
        </w:rPr>
      </w:pPr>
      <w:r w:rsidRPr="009B1421">
        <w:rPr>
          <w:b/>
          <w:bCs/>
          <w:lang w:val="en-GB"/>
        </w:rPr>
        <w:t xml:space="preserve">If UE supports intra-band </w:t>
      </w:r>
      <w:r w:rsidRPr="00383D25">
        <w:rPr>
          <w:b/>
          <w:bCs/>
          <w:u w:val="single"/>
          <w:lang w:val="en-GB"/>
        </w:rPr>
        <w:t>non-contiguous</w:t>
      </w:r>
      <w:r w:rsidRPr="009B1421">
        <w:rPr>
          <w:b/>
          <w:bCs/>
          <w:lang w:val="en-GB"/>
        </w:rPr>
        <w:t xml:space="preserve"> EN-DC only, i.e., if UE indicates “non-contiguous” in “intraBandENDC-Support” or UE does not indicate “interBandContiguousMRDC”,</w:t>
      </w:r>
    </w:p>
    <w:p w14:paraId="7A6E012D" w14:textId="77777777" w:rsidR="00383D25" w:rsidRPr="009B1421" w:rsidRDefault="00383D25" w:rsidP="00383D25">
      <w:pPr>
        <w:pStyle w:val="ListParagraph"/>
        <w:numPr>
          <w:ilvl w:val="1"/>
          <w:numId w:val="21"/>
        </w:numPr>
        <w:rPr>
          <w:b/>
          <w:bCs/>
          <w:lang w:val="en-GB"/>
        </w:rPr>
      </w:pPr>
      <w:r w:rsidRPr="009B1421">
        <w:rPr>
          <w:b/>
          <w:bCs/>
          <w:lang w:val="en-GB"/>
        </w:rPr>
        <w:t xml:space="preserve">Power imbalance requirement for intra-band </w:t>
      </w:r>
      <w:r w:rsidRPr="009B1421">
        <w:rPr>
          <w:b/>
          <w:bCs/>
          <w:u w:val="single"/>
          <w:lang w:val="en-GB"/>
        </w:rPr>
        <w:t>non-contiguous</w:t>
      </w:r>
      <w:r w:rsidRPr="009B1421">
        <w:rPr>
          <w:b/>
          <w:bCs/>
          <w:lang w:val="en-GB"/>
        </w:rPr>
        <w:t xml:space="preserve"> EN-DC is applied</w:t>
      </w:r>
    </w:p>
    <w:p w14:paraId="6930061E" w14:textId="77777777" w:rsidR="00383D25" w:rsidRPr="009B1421" w:rsidRDefault="00383D25" w:rsidP="00383D25">
      <w:pPr>
        <w:pStyle w:val="ListParagraph"/>
        <w:numPr>
          <w:ilvl w:val="0"/>
          <w:numId w:val="21"/>
        </w:numPr>
        <w:rPr>
          <w:b/>
          <w:bCs/>
          <w:lang w:val="en-GB"/>
        </w:rPr>
      </w:pPr>
      <w:r w:rsidRPr="009B1421">
        <w:rPr>
          <w:b/>
          <w:bCs/>
          <w:lang w:val="en-GB"/>
        </w:rPr>
        <w:t xml:space="preserve">If UE supports both intra-band </w:t>
      </w:r>
      <w:r w:rsidRPr="00383D25">
        <w:rPr>
          <w:b/>
          <w:bCs/>
          <w:u w:val="single"/>
          <w:lang w:val="en-GB"/>
        </w:rPr>
        <w:t>contiguous</w:t>
      </w:r>
      <w:r w:rsidRPr="009B1421">
        <w:rPr>
          <w:b/>
          <w:bCs/>
          <w:lang w:val="en-GB"/>
        </w:rPr>
        <w:t xml:space="preserve"> and </w:t>
      </w:r>
      <w:r w:rsidRPr="00383D25">
        <w:rPr>
          <w:b/>
          <w:bCs/>
          <w:u w:val="single"/>
          <w:lang w:val="en-GB"/>
        </w:rPr>
        <w:t>non-contiguous</w:t>
      </w:r>
      <w:r w:rsidRPr="009B1421">
        <w:rPr>
          <w:b/>
          <w:bCs/>
          <w:lang w:val="en-GB"/>
        </w:rPr>
        <w:t xml:space="preserve"> EN-DC, i.e., if UE indicates “both” in “intraBandENDC-Support” or UE indicates “interBandContiguousMRDC”,  </w:t>
      </w:r>
    </w:p>
    <w:p w14:paraId="7267A6F4" w14:textId="77777777" w:rsidR="00383D25" w:rsidRPr="00493F36" w:rsidRDefault="00383D25" w:rsidP="00383D25">
      <w:pPr>
        <w:pStyle w:val="ListParagraph"/>
        <w:numPr>
          <w:ilvl w:val="1"/>
          <w:numId w:val="21"/>
        </w:numPr>
        <w:rPr>
          <w:lang w:val="en-GB"/>
        </w:rPr>
      </w:pPr>
      <w:r w:rsidRPr="009B1421">
        <w:rPr>
          <w:b/>
          <w:bCs/>
          <w:lang w:val="en-GB"/>
        </w:rPr>
        <w:t xml:space="preserve">Power imbalance requirement for intra-band </w:t>
      </w:r>
      <w:r w:rsidRPr="009B1421">
        <w:rPr>
          <w:b/>
          <w:bCs/>
          <w:u w:val="single"/>
          <w:lang w:val="en-GB"/>
        </w:rPr>
        <w:t>contiguous</w:t>
      </w:r>
      <w:r w:rsidRPr="009B1421">
        <w:rPr>
          <w:b/>
          <w:bCs/>
          <w:lang w:val="en-GB"/>
        </w:rPr>
        <w:t xml:space="preserve"> EN-DC</w:t>
      </w:r>
      <w:r>
        <w:rPr>
          <w:b/>
          <w:bCs/>
          <w:lang w:val="en-GB"/>
        </w:rPr>
        <w:t xml:space="preserve"> is applied.</w:t>
      </w:r>
    </w:p>
    <w:p w14:paraId="42AF5F91" w14:textId="77777777" w:rsidR="004242DC" w:rsidRPr="004242DC" w:rsidRDefault="004242DC" w:rsidP="001026D2">
      <w:pPr>
        <w:rPr>
          <w:b/>
          <w:bCs/>
          <w:lang w:val="en-GB"/>
        </w:rPr>
      </w:pPr>
    </w:p>
    <w:p w14:paraId="15AE7CF6" w14:textId="0D3AB140" w:rsidR="00887C74" w:rsidRPr="00442065" w:rsidRDefault="00284502" w:rsidP="00BB4A9F">
      <w:pPr>
        <w:pStyle w:val="Heading1"/>
        <w:rPr>
          <w:lang w:val="en-US"/>
        </w:rPr>
      </w:pPr>
      <w:r w:rsidRPr="00442065">
        <w:rPr>
          <w:lang w:val="en-US"/>
        </w:rPr>
        <w:t>4</w:t>
      </w:r>
      <w:r w:rsidR="000C49C8" w:rsidRPr="00442065">
        <w:rPr>
          <w:lang w:val="en-US"/>
        </w:rPr>
        <w:tab/>
      </w:r>
      <w:r w:rsidR="005A782E" w:rsidRPr="00442065">
        <w:rPr>
          <w:lang w:val="en-US"/>
        </w:rPr>
        <w:t>References</w:t>
      </w:r>
    </w:p>
    <w:p w14:paraId="3E3BD276" w14:textId="59A3FF45" w:rsidR="00F24674" w:rsidRDefault="005A782E" w:rsidP="005A4C6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9" w:name="_Ref508638450"/>
      <w:bookmarkStart w:id="10" w:name="_Ref3386619"/>
      <w:r w:rsidRPr="00442065">
        <w:t>R</w:t>
      </w:r>
      <w:r w:rsidR="00024991" w:rsidRPr="00442065">
        <w:t>4</w:t>
      </w:r>
      <w:r w:rsidRPr="00442065">
        <w:t>-</w:t>
      </w:r>
      <w:bookmarkEnd w:id="9"/>
      <w:bookmarkEnd w:id="10"/>
      <w:r w:rsidR="005A4C64">
        <w:t>201</w:t>
      </w:r>
      <w:r w:rsidR="006A14F4">
        <w:t>2691, “</w:t>
      </w:r>
      <w:r w:rsidR="006A14F4" w:rsidRPr="006A14F4">
        <w:t>Way forward on UE power imbalance requirements for FR1 CA and EN-DC</w:t>
      </w:r>
      <w:r w:rsidR="006A14F4">
        <w:t xml:space="preserve">”, NTT DOCOMO. </w:t>
      </w:r>
    </w:p>
    <w:p w14:paraId="3FE97632" w14:textId="361DB0EB" w:rsidR="00701415" w:rsidRPr="00442065" w:rsidRDefault="00E822A2" w:rsidP="000B25C6">
      <w:pPr>
        <w:overflowPunct w:val="0"/>
        <w:autoSpaceDE w:val="0"/>
        <w:autoSpaceDN w:val="0"/>
        <w:adjustRightInd w:val="0"/>
        <w:spacing w:after="180" w:line="240" w:lineRule="auto"/>
        <w:contextualSpacing/>
        <w:textAlignment w:val="baseline"/>
      </w:pPr>
      <w:r w:rsidRPr="00442065">
        <w:t xml:space="preserve"> </w:t>
      </w:r>
    </w:p>
    <w:sectPr w:rsidR="00701415" w:rsidRPr="00442065"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AC6C54" w:rsidRDefault="00AC6C54">
      <w:pPr>
        <w:spacing w:after="0"/>
      </w:pPr>
      <w:r>
        <w:separator/>
      </w:r>
    </w:p>
  </w:endnote>
  <w:endnote w:type="continuationSeparator" w:id="0">
    <w:p w14:paraId="383D8F64" w14:textId="77777777" w:rsidR="00AC6C54" w:rsidRDefault="00AC6C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AC6C54" w:rsidRDefault="00AC6C5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AC6C54" w:rsidRDefault="00AC6C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AC6C54" w:rsidRDefault="00AC6C54">
      <w:pPr>
        <w:spacing w:after="0"/>
      </w:pPr>
      <w:r>
        <w:separator/>
      </w:r>
    </w:p>
  </w:footnote>
  <w:footnote w:type="continuationSeparator" w:id="0">
    <w:p w14:paraId="5C20C51E" w14:textId="77777777" w:rsidR="00AC6C54" w:rsidRDefault="00AC6C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AC6C54" w:rsidRDefault="00AC6C5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A64F7"/>
    <w:multiLevelType w:val="hybridMultilevel"/>
    <w:tmpl w:val="53DEF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AE3391"/>
    <w:multiLevelType w:val="hybridMultilevel"/>
    <w:tmpl w:val="2D384ACC"/>
    <w:lvl w:ilvl="0" w:tplc="F54E6BFE">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792FB1"/>
    <w:multiLevelType w:val="hybridMultilevel"/>
    <w:tmpl w:val="63181C3E"/>
    <w:lvl w:ilvl="0" w:tplc="69D0CD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86874"/>
    <w:multiLevelType w:val="hybridMultilevel"/>
    <w:tmpl w:val="CC2C2C94"/>
    <w:lvl w:ilvl="0" w:tplc="69D0CD8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C01629"/>
    <w:multiLevelType w:val="hybridMultilevel"/>
    <w:tmpl w:val="B07863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3050B4"/>
    <w:multiLevelType w:val="hybridMultilevel"/>
    <w:tmpl w:val="BA2CC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15578C"/>
    <w:multiLevelType w:val="hybridMultilevel"/>
    <w:tmpl w:val="BC62A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3F5220"/>
    <w:multiLevelType w:val="hybridMultilevel"/>
    <w:tmpl w:val="B7D4D04E"/>
    <w:lvl w:ilvl="0" w:tplc="69D0CD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56341"/>
    <w:multiLevelType w:val="hybridMultilevel"/>
    <w:tmpl w:val="EB3E37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F051D"/>
    <w:multiLevelType w:val="hybridMultilevel"/>
    <w:tmpl w:val="BC0A6A7C"/>
    <w:lvl w:ilvl="0" w:tplc="69D0CD8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A71CA0"/>
    <w:multiLevelType w:val="hybridMultilevel"/>
    <w:tmpl w:val="D1C867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FE478F"/>
    <w:multiLevelType w:val="hybridMultilevel"/>
    <w:tmpl w:val="43F8FED2"/>
    <w:lvl w:ilvl="0" w:tplc="69D0CD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40B3F"/>
    <w:multiLevelType w:val="hybridMultilevel"/>
    <w:tmpl w:val="2B0243A2"/>
    <w:lvl w:ilvl="0" w:tplc="69D0CD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FF5956"/>
    <w:multiLevelType w:val="hybridMultilevel"/>
    <w:tmpl w:val="0EFE793E"/>
    <w:lvl w:ilvl="0" w:tplc="69D0CD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2213A"/>
    <w:multiLevelType w:val="hybridMultilevel"/>
    <w:tmpl w:val="DF988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D21792"/>
    <w:multiLevelType w:val="hybridMultilevel"/>
    <w:tmpl w:val="D388AC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43107D"/>
    <w:multiLevelType w:val="multilevel"/>
    <w:tmpl w:val="BC0A6A7C"/>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8B43C0"/>
    <w:multiLevelType w:val="hybridMultilevel"/>
    <w:tmpl w:val="6230407E"/>
    <w:lvl w:ilvl="0" w:tplc="A01CF50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A32D2"/>
    <w:multiLevelType w:val="hybridMultilevel"/>
    <w:tmpl w:val="DC70719E"/>
    <w:lvl w:ilvl="0" w:tplc="69D0CD8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F5935"/>
    <w:multiLevelType w:val="hybridMultilevel"/>
    <w:tmpl w:val="2686491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5D54B5"/>
    <w:multiLevelType w:val="hybridMultilevel"/>
    <w:tmpl w:val="F3246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687AB7"/>
    <w:multiLevelType w:val="hybridMultilevel"/>
    <w:tmpl w:val="19006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F169C"/>
    <w:multiLevelType w:val="hybridMultilevel"/>
    <w:tmpl w:val="13BC889E"/>
    <w:lvl w:ilvl="0" w:tplc="04090005">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6A26704"/>
    <w:multiLevelType w:val="hybridMultilevel"/>
    <w:tmpl w:val="AE043D28"/>
    <w:lvl w:ilvl="0" w:tplc="A01CF50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C41D46"/>
    <w:multiLevelType w:val="hybridMultilevel"/>
    <w:tmpl w:val="67D4C9AC"/>
    <w:lvl w:ilvl="0" w:tplc="69D0CD88">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1D702A"/>
    <w:multiLevelType w:val="hybridMultilevel"/>
    <w:tmpl w:val="B2ECA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8" w15:restartNumberingAfterBreak="0">
    <w:nsid w:val="7EE603E1"/>
    <w:multiLevelType w:val="hybridMultilevel"/>
    <w:tmpl w:val="049E9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1"/>
  </w:num>
  <w:num w:numId="3">
    <w:abstractNumId w:val="4"/>
  </w:num>
  <w:num w:numId="4">
    <w:abstractNumId w:val="8"/>
  </w:num>
  <w:num w:numId="5">
    <w:abstractNumId w:val="10"/>
  </w:num>
  <w:num w:numId="6">
    <w:abstractNumId w:val="16"/>
  </w:num>
  <w:num w:numId="7">
    <w:abstractNumId w:val="20"/>
  </w:num>
  <w:num w:numId="8">
    <w:abstractNumId w:val="18"/>
  </w:num>
  <w:num w:numId="9">
    <w:abstractNumId w:val="24"/>
  </w:num>
  <w:num w:numId="10">
    <w:abstractNumId w:val="23"/>
  </w:num>
  <w:num w:numId="11">
    <w:abstractNumId w:val="22"/>
  </w:num>
  <w:num w:numId="12">
    <w:abstractNumId w:val="6"/>
  </w:num>
  <w:num w:numId="13">
    <w:abstractNumId w:val="1"/>
  </w:num>
  <w:num w:numId="14">
    <w:abstractNumId w:val="0"/>
  </w:num>
  <w:num w:numId="15">
    <w:abstractNumId w:val="26"/>
  </w:num>
  <w:num w:numId="16">
    <w:abstractNumId w:val="2"/>
  </w:num>
  <w:num w:numId="17">
    <w:abstractNumId w:val="7"/>
  </w:num>
  <w:num w:numId="18">
    <w:abstractNumId w:val="13"/>
  </w:num>
  <w:num w:numId="19">
    <w:abstractNumId w:val="12"/>
  </w:num>
  <w:num w:numId="20">
    <w:abstractNumId w:val="19"/>
  </w:num>
  <w:num w:numId="21">
    <w:abstractNumId w:val="14"/>
  </w:num>
  <w:num w:numId="22">
    <w:abstractNumId w:val="15"/>
  </w:num>
  <w:num w:numId="23">
    <w:abstractNumId w:val="21"/>
  </w:num>
  <w:num w:numId="24">
    <w:abstractNumId w:val="3"/>
  </w:num>
  <w:num w:numId="25">
    <w:abstractNumId w:val="28"/>
  </w:num>
  <w:num w:numId="26">
    <w:abstractNumId w:val="25"/>
  </w:num>
  <w:num w:numId="27">
    <w:abstractNumId w:val="9"/>
  </w:num>
  <w:num w:numId="28">
    <w:abstractNumId w:val="17"/>
  </w:num>
  <w:num w:numId="2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49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08EC"/>
    <w:rsid w:val="0000141A"/>
    <w:rsid w:val="00001CEA"/>
    <w:rsid w:val="00001DAA"/>
    <w:rsid w:val="00001DC6"/>
    <w:rsid w:val="00002141"/>
    <w:rsid w:val="000037A9"/>
    <w:rsid w:val="00003FC8"/>
    <w:rsid w:val="000047D2"/>
    <w:rsid w:val="00004D1B"/>
    <w:rsid w:val="00006032"/>
    <w:rsid w:val="00006C3B"/>
    <w:rsid w:val="000073FB"/>
    <w:rsid w:val="0000776F"/>
    <w:rsid w:val="0001114B"/>
    <w:rsid w:val="00011CB1"/>
    <w:rsid w:val="0001221E"/>
    <w:rsid w:val="00012243"/>
    <w:rsid w:val="00012342"/>
    <w:rsid w:val="00012982"/>
    <w:rsid w:val="00012D27"/>
    <w:rsid w:val="00013A28"/>
    <w:rsid w:val="00013B62"/>
    <w:rsid w:val="00013D9A"/>
    <w:rsid w:val="00014117"/>
    <w:rsid w:val="00014165"/>
    <w:rsid w:val="0001425E"/>
    <w:rsid w:val="000150C8"/>
    <w:rsid w:val="0001601E"/>
    <w:rsid w:val="00016643"/>
    <w:rsid w:val="00017714"/>
    <w:rsid w:val="00017A14"/>
    <w:rsid w:val="00017D5A"/>
    <w:rsid w:val="00021EAF"/>
    <w:rsid w:val="000227D1"/>
    <w:rsid w:val="0002283B"/>
    <w:rsid w:val="00022D26"/>
    <w:rsid w:val="00023186"/>
    <w:rsid w:val="000234DE"/>
    <w:rsid w:val="000238DC"/>
    <w:rsid w:val="000248B0"/>
    <w:rsid w:val="00024991"/>
    <w:rsid w:val="000249EB"/>
    <w:rsid w:val="00024AEF"/>
    <w:rsid w:val="00024EB7"/>
    <w:rsid w:val="00025086"/>
    <w:rsid w:val="00025547"/>
    <w:rsid w:val="00025905"/>
    <w:rsid w:val="00025DD5"/>
    <w:rsid w:val="000262D9"/>
    <w:rsid w:val="000266DE"/>
    <w:rsid w:val="00026800"/>
    <w:rsid w:val="00026CBB"/>
    <w:rsid w:val="00027718"/>
    <w:rsid w:val="000277DF"/>
    <w:rsid w:val="00027EED"/>
    <w:rsid w:val="00031048"/>
    <w:rsid w:val="000318C2"/>
    <w:rsid w:val="00032519"/>
    <w:rsid w:val="0003350F"/>
    <w:rsid w:val="0003435F"/>
    <w:rsid w:val="0003447D"/>
    <w:rsid w:val="00034622"/>
    <w:rsid w:val="0003548C"/>
    <w:rsid w:val="000358A0"/>
    <w:rsid w:val="00035ED2"/>
    <w:rsid w:val="000363EA"/>
    <w:rsid w:val="00036646"/>
    <w:rsid w:val="00036E73"/>
    <w:rsid w:val="00036FD4"/>
    <w:rsid w:val="000374C6"/>
    <w:rsid w:val="00040C18"/>
    <w:rsid w:val="00041292"/>
    <w:rsid w:val="00041B14"/>
    <w:rsid w:val="000422CA"/>
    <w:rsid w:val="0004248E"/>
    <w:rsid w:val="0004353E"/>
    <w:rsid w:val="000436AB"/>
    <w:rsid w:val="00044D8D"/>
    <w:rsid w:val="00044ED8"/>
    <w:rsid w:val="00045494"/>
    <w:rsid w:val="000456A6"/>
    <w:rsid w:val="0004582E"/>
    <w:rsid w:val="000463C2"/>
    <w:rsid w:val="00047511"/>
    <w:rsid w:val="000479C3"/>
    <w:rsid w:val="0005017E"/>
    <w:rsid w:val="0005034B"/>
    <w:rsid w:val="00050919"/>
    <w:rsid w:val="000524B3"/>
    <w:rsid w:val="00052E7F"/>
    <w:rsid w:val="00053EE0"/>
    <w:rsid w:val="000541FE"/>
    <w:rsid w:val="0005420D"/>
    <w:rsid w:val="000552F1"/>
    <w:rsid w:val="0005598B"/>
    <w:rsid w:val="00056B00"/>
    <w:rsid w:val="00056C61"/>
    <w:rsid w:val="000573EF"/>
    <w:rsid w:val="00057513"/>
    <w:rsid w:val="000579EF"/>
    <w:rsid w:val="00057A6E"/>
    <w:rsid w:val="00057CCD"/>
    <w:rsid w:val="00057F51"/>
    <w:rsid w:val="00060849"/>
    <w:rsid w:val="00062363"/>
    <w:rsid w:val="000627C9"/>
    <w:rsid w:val="00062C13"/>
    <w:rsid w:val="00062DDD"/>
    <w:rsid w:val="00063BE0"/>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21A"/>
    <w:rsid w:val="00071E4C"/>
    <w:rsid w:val="0007288B"/>
    <w:rsid w:val="000742B1"/>
    <w:rsid w:val="00074642"/>
    <w:rsid w:val="00075305"/>
    <w:rsid w:val="00075353"/>
    <w:rsid w:val="00075BF3"/>
    <w:rsid w:val="0007610F"/>
    <w:rsid w:val="0007728E"/>
    <w:rsid w:val="00077E39"/>
    <w:rsid w:val="00080347"/>
    <w:rsid w:val="0008062A"/>
    <w:rsid w:val="000807A2"/>
    <w:rsid w:val="00080821"/>
    <w:rsid w:val="000808FE"/>
    <w:rsid w:val="00080BEE"/>
    <w:rsid w:val="0008144A"/>
    <w:rsid w:val="00081781"/>
    <w:rsid w:val="000823F4"/>
    <w:rsid w:val="0008258D"/>
    <w:rsid w:val="000839E3"/>
    <w:rsid w:val="00083E10"/>
    <w:rsid w:val="00083E1A"/>
    <w:rsid w:val="00084603"/>
    <w:rsid w:val="00084A83"/>
    <w:rsid w:val="00085C53"/>
    <w:rsid w:val="000863BD"/>
    <w:rsid w:val="0008685F"/>
    <w:rsid w:val="00086EC2"/>
    <w:rsid w:val="00086EDA"/>
    <w:rsid w:val="0008744E"/>
    <w:rsid w:val="000901BB"/>
    <w:rsid w:val="000901E2"/>
    <w:rsid w:val="0009079C"/>
    <w:rsid w:val="000910AB"/>
    <w:rsid w:val="000918A3"/>
    <w:rsid w:val="00091C4A"/>
    <w:rsid w:val="00091D52"/>
    <w:rsid w:val="00092183"/>
    <w:rsid w:val="00092695"/>
    <w:rsid w:val="00092B03"/>
    <w:rsid w:val="00093F4E"/>
    <w:rsid w:val="000940F3"/>
    <w:rsid w:val="00094654"/>
    <w:rsid w:val="00094AAD"/>
    <w:rsid w:val="00094AFD"/>
    <w:rsid w:val="00094F91"/>
    <w:rsid w:val="00095FF6"/>
    <w:rsid w:val="00096409"/>
    <w:rsid w:val="000964C1"/>
    <w:rsid w:val="000968A7"/>
    <w:rsid w:val="00096D4C"/>
    <w:rsid w:val="00096D84"/>
    <w:rsid w:val="000977F1"/>
    <w:rsid w:val="000979B3"/>
    <w:rsid w:val="00097A61"/>
    <w:rsid w:val="000A060B"/>
    <w:rsid w:val="000A0AC8"/>
    <w:rsid w:val="000A2152"/>
    <w:rsid w:val="000A2A4C"/>
    <w:rsid w:val="000A2C2A"/>
    <w:rsid w:val="000A3A6D"/>
    <w:rsid w:val="000A47C0"/>
    <w:rsid w:val="000A4BEB"/>
    <w:rsid w:val="000A5060"/>
    <w:rsid w:val="000A5631"/>
    <w:rsid w:val="000A5806"/>
    <w:rsid w:val="000A5BF1"/>
    <w:rsid w:val="000A693F"/>
    <w:rsid w:val="000A6F20"/>
    <w:rsid w:val="000A70C7"/>
    <w:rsid w:val="000A772D"/>
    <w:rsid w:val="000A78BB"/>
    <w:rsid w:val="000A7BFF"/>
    <w:rsid w:val="000B04B5"/>
    <w:rsid w:val="000B0F93"/>
    <w:rsid w:val="000B25C6"/>
    <w:rsid w:val="000B2A11"/>
    <w:rsid w:val="000B34AA"/>
    <w:rsid w:val="000B3667"/>
    <w:rsid w:val="000B3723"/>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5FE"/>
    <w:rsid w:val="000C2719"/>
    <w:rsid w:val="000C2B76"/>
    <w:rsid w:val="000C300F"/>
    <w:rsid w:val="000C3222"/>
    <w:rsid w:val="000C3262"/>
    <w:rsid w:val="000C357F"/>
    <w:rsid w:val="000C35A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427"/>
    <w:rsid w:val="000D06C8"/>
    <w:rsid w:val="000D0B41"/>
    <w:rsid w:val="000D207B"/>
    <w:rsid w:val="000D21CF"/>
    <w:rsid w:val="000D23D1"/>
    <w:rsid w:val="000D24B9"/>
    <w:rsid w:val="000D24D4"/>
    <w:rsid w:val="000D27D3"/>
    <w:rsid w:val="000D2CA5"/>
    <w:rsid w:val="000D2D53"/>
    <w:rsid w:val="000D2E4D"/>
    <w:rsid w:val="000D31E6"/>
    <w:rsid w:val="000D33C2"/>
    <w:rsid w:val="000D374C"/>
    <w:rsid w:val="000D42AA"/>
    <w:rsid w:val="000D4397"/>
    <w:rsid w:val="000D53F9"/>
    <w:rsid w:val="000D5CD5"/>
    <w:rsid w:val="000D6A5E"/>
    <w:rsid w:val="000D7B74"/>
    <w:rsid w:val="000D7DAC"/>
    <w:rsid w:val="000E05B1"/>
    <w:rsid w:val="000E0E63"/>
    <w:rsid w:val="000E1155"/>
    <w:rsid w:val="000E157E"/>
    <w:rsid w:val="000E174F"/>
    <w:rsid w:val="000E1C18"/>
    <w:rsid w:val="000E1E85"/>
    <w:rsid w:val="000E2ADE"/>
    <w:rsid w:val="000E2B75"/>
    <w:rsid w:val="000E2B99"/>
    <w:rsid w:val="000E2C22"/>
    <w:rsid w:val="000E33EA"/>
    <w:rsid w:val="000E36AC"/>
    <w:rsid w:val="000E3B5E"/>
    <w:rsid w:val="000E42FE"/>
    <w:rsid w:val="000E4596"/>
    <w:rsid w:val="000E517C"/>
    <w:rsid w:val="000E53CA"/>
    <w:rsid w:val="000E5640"/>
    <w:rsid w:val="000E5E0B"/>
    <w:rsid w:val="000E63D2"/>
    <w:rsid w:val="000E7499"/>
    <w:rsid w:val="000E7B71"/>
    <w:rsid w:val="000E7ED7"/>
    <w:rsid w:val="000F08EC"/>
    <w:rsid w:val="000F0DD5"/>
    <w:rsid w:val="000F1B1D"/>
    <w:rsid w:val="000F1F3D"/>
    <w:rsid w:val="000F311A"/>
    <w:rsid w:val="000F3291"/>
    <w:rsid w:val="000F32A0"/>
    <w:rsid w:val="000F3D29"/>
    <w:rsid w:val="000F41F4"/>
    <w:rsid w:val="000F42E5"/>
    <w:rsid w:val="000F522D"/>
    <w:rsid w:val="000F566C"/>
    <w:rsid w:val="000F585F"/>
    <w:rsid w:val="000F614F"/>
    <w:rsid w:val="000F6226"/>
    <w:rsid w:val="000F6A4F"/>
    <w:rsid w:val="000F6B8C"/>
    <w:rsid w:val="000F774D"/>
    <w:rsid w:val="000F7C61"/>
    <w:rsid w:val="000F7F3F"/>
    <w:rsid w:val="0010079A"/>
    <w:rsid w:val="00100904"/>
    <w:rsid w:val="00100BDE"/>
    <w:rsid w:val="00100D60"/>
    <w:rsid w:val="00100EF3"/>
    <w:rsid w:val="00101CFB"/>
    <w:rsid w:val="001026D2"/>
    <w:rsid w:val="00102A1C"/>
    <w:rsid w:val="001030F5"/>
    <w:rsid w:val="0010390B"/>
    <w:rsid w:val="00103969"/>
    <w:rsid w:val="001050DA"/>
    <w:rsid w:val="00106338"/>
    <w:rsid w:val="00106F0C"/>
    <w:rsid w:val="001074D4"/>
    <w:rsid w:val="001078A9"/>
    <w:rsid w:val="00110126"/>
    <w:rsid w:val="00110BE2"/>
    <w:rsid w:val="001113C7"/>
    <w:rsid w:val="00111663"/>
    <w:rsid w:val="001118B0"/>
    <w:rsid w:val="00111EB5"/>
    <w:rsid w:val="0011391A"/>
    <w:rsid w:val="00114077"/>
    <w:rsid w:val="00114245"/>
    <w:rsid w:val="001145A9"/>
    <w:rsid w:val="00114934"/>
    <w:rsid w:val="00114959"/>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27375"/>
    <w:rsid w:val="00130130"/>
    <w:rsid w:val="001301AC"/>
    <w:rsid w:val="00130215"/>
    <w:rsid w:val="0013022B"/>
    <w:rsid w:val="00130BB4"/>
    <w:rsid w:val="0013265C"/>
    <w:rsid w:val="001327A1"/>
    <w:rsid w:val="00132BE0"/>
    <w:rsid w:val="00132C26"/>
    <w:rsid w:val="00133496"/>
    <w:rsid w:val="001334AF"/>
    <w:rsid w:val="001334ED"/>
    <w:rsid w:val="001336DC"/>
    <w:rsid w:val="001346FB"/>
    <w:rsid w:val="001347A7"/>
    <w:rsid w:val="00135077"/>
    <w:rsid w:val="00135E6A"/>
    <w:rsid w:val="001367E8"/>
    <w:rsid w:val="00136E4B"/>
    <w:rsid w:val="001371D2"/>
    <w:rsid w:val="0013766A"/>
    <w:rsid w:val="00137DD1"/>
    <w:rsid w:val="0014031F"/>
    <w:rsid w:val="001403C8"/>
    <w:rsid w:val="0014096A"/>
    <w:rsid w:val="00140AD3"/>
    <w:rsid w:val="00140C55"/>
    <w:rsid w:val="00143060"/>
    <w:rsid w:val="00143A83"/>
    <w:rsid w:val="00144042"/>
    <w:rsid w:val="00144674"/>
    <w:rsid w:val="001448F9"/>
    <w:rsid w:val="00145179"/>
    <w:rsid w:val="00145503"/>
    <w:rsid w:val="00145726"/>
    <w:rsid w:val="00145C2B"/>
    <w:rsid w:val="0014683D"/>
    <w:rsid w:val="00146A54"/>
    <w:rsid w:val="0014753B"/>
    <w:rsid w:val="001475D7"/>
    <w:rsid w:val="00147B38"/>
    <w:rsid w:val="00147CB6"/>
    <w:rsid w:val="00147D79"/>
    <w:rsid w:val="00150963"/>
    <w:rsid w:val="00150A93"/>
    <w:rsid w:val="00150C4F"/>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5DB0"/>
    <w:rsid w:val="0015655C"/>
    <w:rsid w:val="00156C21"/>
    <w:rsid w:val="00156C5D"/>
    <w:rsid w:val="00156D46"/>
    <w:rsid w:val="0015739F"/>
    <w:rsid w:val="00157632"/>
    <w:rsid w:val="001603A2"/>
    <w:rsid w:val="001605C1"/>
    <w:rsid w:val="00160FB5"/>
    <w:rsid w:val="0016119A"/>
    <w:rsid w:val="0016142B"/>
    <w:rsid w:val="00161499"/>
    <w:rsid w:val="001618D2"/>
    <w:rsid w:val="00161E2F"/>
    <w:rsid w:val="00162321"/>
    <w:rsid w:val="0016259D"/>
    <w:rsid w:val="0016286D"/>
    <w:rsid w:val="00162AD5"/>
    <w:rsid w:val="00162BED"/>
    <w:rsid w:val="00163046"/>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8D6"/>
    <w:rsid w:val="00177DDF"/>
    <w:rsid w:val="00177E54"/>
    <w:rsid w:val="00177EDD"/>
    <w:rsid w:val="00180D10"/>
    <w:rsid w:val="00181530"/>
    <w:rsid w:val="00182186"/>
    <w:rsid w:val="00182785"/>
    <w:rsid w:val="00182D90"/>
    <w:rsid w:val="00182F13"/>
    <w:rsid w:val="00183E33"/>
    <w:rsid w:val="00183F39"/>
    <w:rsid w:val="001843D4"/>
    <w:rsid w:val="00184FB6"/>
    <w:rsid w:val="0018519D"/>
    <w:rsid w:val="00185712"/>
    <w:rsid w:val="00185F08"/>
    <w:rsid w:val="00186527"/>
    <w:rsid w:val="00186B18"/>
    <w:rsid w:val="001878FE"/>
    <w:rsid w:val="00187976"/>
    <w:rsid w:val="00187FA5"/>
    <w:rsid w:val="00190051"/>
    <w:rsid w:val="0019028C"/>
    <w:rsid w:val="0019086A"/>
    <w:rsid w:val="00191030"/>
    <w:rsid w:val="00191869"/>
    <w:rsid w:val="00191BA5"/>
    <w:rsid w:val="001920A5"/>
    <w:rsid w:val="0019267A"/>
    <w:rsid w:val="001931C1"/>
    <w:rsid w:val="00193491"/>
    <w:rsid w:val="00193516"/>
    <w:rsid w:val="0019382E"/>
    <w:rsid w:val="00193CD3"/>
    <w:rsid w:val="00193D4A"/>
    <w:rsid w:val="00194385"/>
    <w:rsid w:val="00195353"/>
    <w:rsid w:val="00195BD8"/>
    <w:rsid w:val="00195EC3"/>
    <w:rsid w:val="00195ECF"/>
    <w:rsid w:val="001961C9"/>
    <w:rsid w:val="001962F6"/>
    <w:rsid w:val="001965ED"/>
    <w:rsid w:val="001966EF"/>
    <w:rsid w:val="00196A2D"/>
    <w:rsid w:val="00197406"/>
    <w:rsid w:val="00197434"/>
    <w:rsid w:val="001A003A"/>
    <w:rsid w:val="001A0172"/>
    <w:rsid w:val="001A01DA"/>
    <w:rsid w:val="001A08A9"/>
    <w:rsid w:val="001A19B7"/>
    <w:rsid w:val="001A21D4"/>
    <w:rsid w:val="001A22EA"/>
    <w:rsid w:val="001A267C"/>
    <w:rsid w:val="001A28D8"/>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909"/>
    <w:rsid w:val="001B5849"/>
    <w:rsid w:val="001B5C1F"/>
    <w:rsid w:val="001B606B"/>
    <w:rsid w:val="001B68D8"/>
    <w:rsid w:val="001B6AFB"/>
    <w:rsid w:val="001B6F88"/>
    <w:rsid w:val="001B7725"/>
    <w:rsid w:val="001C0C57"/>
    <w:rsid w:val="001C0CB2"/>
    <w:rsid w:val="001C14C3"/>
    <w:rsid w:val="001C17B0"/>
    <w:rsid w:val="001C26C0"/>
    <w:rsid w:val="001C27CC"/>
    <w:rsid w:val="001C28D6"/>
    <w:rsid w:val="001C302F"/>
    <w:rsid w:val="001C3089"/>
    <w:rsid w:val="001C3FF5"/>
    <w:rsid w:val="001C4900"/>
    <w:rsid w:val="001C4DAD"/>
    <w:rsid w:val="001C56FB"/>
    <w:rsid w:val="001C5E78"/>
    <w:rsid w:val="001C605F"/>
    <w:rsid w:val="001C64C2"/>
    <w:rsid w:val="001C6D99"/>
    <w:rsid w:val="001C74B4"/>
    <w:rsid w:val="001C7A59"/>
    <w:rsid w:val="001D0236"/>
    <w:rsid w:val="001D0B72"/>
    <w:rsid w:val="001D1550"/>
    <w:rsid w:val="001D1E06"/>
    <w:rsid w:val="001D2453"/>
    <w:rsid w:val="001D2C28"/>
    <w:rsid w:val="001D2F8F"/>
    <w:rsid w:val="001D30D3"/>
    <w:rsid w:val="001D3636"/>
    <w:rsid w:val="001D3781"/>
    <w:rsid w:val="001D433F"/>
    <w:rsid w:val="001D4434"/>
    <w:rsid w:val="001D46D0"/>
    <w:rsid w:val="001D4850"/>
    <w:rsid w:val="001D48E3"/>
    <w:rsid w:val="001D5196"/>
    <w:rsid w:val="001D64D3"/>
    <w:rsid w:val="001D67EE"/>
    <w:rsid w:val="001D6830"/>
    <w:rsid w:val="001D6C48"/>
    <w:rsid w:val="001D6D25"/>
    <w:rsid w:val="001D70BE"/>
    <w:rsid w:val="001D7964"/>
    <w:rsid w:val="001D7C4B"/>
    <w:rsid w:val="001D7E0A"/>
    <w:rsid w:val="001E0581"/>
    <w:rsid w:val="001E05E0"/>
    <w:rsid w:val="001E0A07"/>
    <w:rsid w:val="001E0B83"/>
    <w:rsid w:val="001E0BFB"/>
    <w:rsid w:val="001E0E17"/>
    <w:rsid w:val="001E2A10"/>
    <w:rsid w:val="001E2DC8"/>
    <w:rsid w:val="001E37DC"/>
    <w:rsid w:val="001E3879"/>
    <w:rsid w:val="001E3A17"/>
    <w:rsid w:val="001E4638"/>
    <w:rsid w:val="001E4804"/>
    <w:rsid w:val="001E5290"/>
    <w:rsid w:val="001E5293"/>
    <w:rsid w:val="001E5338"/>
    <w:rsid w:val="001E54DA"/>
    <w:rsid w:val="001E5B38"/>
    <w:rsid w:val="001E5DCB"/>
    <w:rsid w:val="001E6DF9"/>
    <w:rsid w:val="001E70AA"/>
    <w:rsid w:val="001E76D0"/>
    <w:rsid w:val="001F0308"/>
    <w:rsid w:val="001F046D"/>
    <w:rsid w:val="001F0CE0"/>
    <w:rsid w:val="001F13B4"/>
    <w:rsid w:val="001F171A"/>
    <w:rsid w:val="001F1922"/>
    <w:rsid w:val="001F1C17"/>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7B5"/>
    <w:rsid w:val="001F6E6E"/>
    <w:rsid w:val="001F7231"/>
    <w:rsid w:val="001F769C"/>
    <w:rsid w:val="001F7856"/>
    <w:rsid w:val="001F7882"/>
    <w:rsid w:val="001F7D32"/>
    <w:rsid w:val="002004FA"/>
    <w:rsid w:val="0020057C"/>
    <w:rsid w:val="002007DC"/>
    <w:rsid w:val="00200845"/>
    <w:rsid w:val="00200A9D"/>
    <w:rsid w:val="0020109B"/>
    <w:rsid w:val="00201842"/>
    <w:rsid w:val="0020200E"/>
    <w:rsid w:val="00202FA8"/>
    <w:rsid w:val="0020310E"/>
    <w:rsid w:val="0020366C"/>
    <w:rsid w:val="00203F1A"/>
    <w:rsid w:val="002041EA"/>
    <w:rsid w:val="00204413"/>
    <w:rsid w:val="00204F98"/>
    <w:rsid w:val="00205F79"/>
    <w:rsid w:val="00206528"/>
    <w:rsid w:val="002068CF"/>
    <w:rsid w:val="00206DE1"/>
    <w:rsid w:val="00207282"/>
    <w:rsid w:val="00207EFD"/>
    <w:rsid w:val="00207FD5"/>
    <w:rsid w:val="00210304"/>
    <w:rsid w:val="002103FA"/>
    <w:rsid w:val="00210C05"/>
    <w:rsid w:val="002114BF"/>
    <w:rsid w:val="002115FC"/>
    <w:rsid w:val="0021165A"/>
    <w:rsid w:val="002116A6"/>
    <w:rsid w:val="002121E5"/>
    <w:rsid w:val="00212222"/>
    <w:rsid w:val="00212E27"/>
    <w:rsid w:val="00212E5B"/>
    <w:rsid w:val="00212EC8"/>
    <w:rsid w:val="00212F28"/>
    <w:rsid w:val="002132A2"/>
    <w:rsid w:val="00213A09"/>
    <w:rsid w:val="00213DAA"/>
    <w:rsid w:val="00213F44"/>
    <w:rsid w:val="00214CEB"/>
    <w:rsid w:val="00215968"/>
    <w:rsid w:val="00215C76"/>
    <w:rsid w:val="0021635E"/>
    <w:rsid w:val="00216397"/>
    <w:rsid w:val="002178A6"/>
    <w:rsid w:val="002179F1"/>
    <w:rsid w:val="00217F08"/>
    <w:rsid w:val="00220E05"/>
    <w:rsid w:val="00220F8C"/>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5A2"/>
    <w:rsid w:val="00232D3F"/>
    <w:rsid w:val="00232DDD"/>
    <w:rsid w:val="00234404"/>
    <w:rsid w:val="00234C25"/>
    <w:rsid w:val="00235558"/>
    <w:rsid w:val="00235596"/>
    <w:rsid w:val="00236178"/>
    <w:rsid w:val="0023673E"/>
    <w:rsid w:val="00236F55"/>
    <w:rsid w:val="002370C6"/>
    <w:rsid w:val="00237C55"/>
    <w:rsid w:val="00237ECB"/>
    <w:rsid w:val="0024032E"/>
    <w:rsid w:val="002405EB"/>
    <w:rsid w:val="0024135F"/>
    <w:rsid w:val="0024189E"/>
    <w:rsid w:val="00242186"/>
    <w:rsid w:val="002424C9"/>
    <w:rsid w:val="00242E94"/>
    <w:rsid w:val="00243258"/>
    <w:rsid w:val="002434F0"/>
    <w:rsid w:val="00243F00"/>
    <w:rsid w:val="0024434C"/>
    <w:rsid w:val="0024479E"/>
    <w:rsid w:val="002455EF"/>
    <w:rsid w:val="00245C10"/>
    <w:rsid w:val="00245FCA"/>
    <w:rsid w:val="00246D60"/>
    <w:rsid w:val="002472F2"/>
    <w:rsid w:val="00247BED"/>
    <w:rsid w:val="00247C17"/>
    <w:rsid w:val="00250C97"/>
    <w:rsid w:val="00250CF2"/>
    <w:rsid w:val="00251512"/>
    <w:rsid w:val="00251658"/>
    <w:rsid w:val="00251793"/>
    <w:rsid w:val="002517BF"/>
    <w:rsid w:val="00251F77"/>
    <w:rsid w:val="002521AC"/>
    <w:rsid w:val="00253659"/>
    <w:rsid w:val="002537EF"/>
    <w:rsid w:val="00253E63"/>
    <w:rsid w:val="00254F4A"/>
    <w:rsid w:val="00255EA3"/>
    <w:rsid w:val="002563BF"/>
    <w:rsid w:val="0025720C"/>
    <w:rsid w:val="0025769E"/>
    <w:rsid w:val="00257E49"/>
    <w:rsid w:val="0026062E"/>
    <w:rsid w:val="0026165D"/>
    <w:rsid w:val="00261690"/>
    <w:rsid w:val="00261991"/>
    <w:rsid w:val="00261CEA"/>
    <w:rsid w:val="002621FF"/>
    <w:rsid w:val="0026260A"/>
    <w:rsid w:val="002626CF"/>
    <w:rsid w:val="00262837"/>
    <w:rsid w:val="002635C5"/>
    <w:rsid w:val="00263659"/>
    <w:rsid w:val="002639DB"/>
    <w:rsid w:val="00263E71"/>
    <w:rsid w:val="002644D6"/>
    <w:rsid w:val="0026468D"/>
    <w:rsid w:val="002660EB"/>
    <w:rsid w:val="002661F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6E7D"/>
    <w:rsid w:val="002774CC"/>
    <w:rsid w:val="00277947"/>
    <w:rsid w:val="00277A17"/>
    <w:rsid w:val="00277DE1"/>
    <w:rsid w:val="0028029C"/>
    <w:rsid w:val="0028055F"/>
    <w:rsid w:val="00280E3D"/>
    <w:rsid w:val="00281A32"/>
    <w:rsid w:val="00281DBD"/>
    <w:rsid w:val="00282AB8"/>
    <w:rsid w:val="00282FB0"/>
    <w:rsid w:val="0028354B"/>
    <w:rsid w:val="00283963"/>
    <w:rsid w:val="00283D98"/>
    <w:rsid w:val="00284047"/>
    <w:rsid w:val="0028411F"/>
    <w:rsid w:val="002843A0"/>
    <w:rsid w:val="00284502"/>
    <w:rsid w:val="002846B2"/>
    <w:rsid w:val="002849CC"/>
    <w:rsid w:val="00284A10"/>
    <w:rsid w:val="00284DC8"/>
    <w:rsid w:val="0028552C"/>
    <w:rsid w:val="00285D31"/>
    <w:rsid w:val="00286094"/>
    <w:rsid w:val="002865CA"/>
    <w:rsid w:val="002908A7"/>
    <w:rsid w:val="002917ED"/>
    <w:rsid w:val="0029196D"/>
    <w:rsid w:val="00292710"/>
    <w:rsid w:val="00293082"/>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3B9C"/>
    <w:rsid w:val="002A503A"/>
    <w:rsid w:val="002A5247"/>
    <w:rsid w:val="002A5DE0"/>
    <w:rsid w:val="002A62EC"/>
    <w:rsid w:val="002A63A4"/>
    <w:rsid w:val="002A63B9"/>
    <w:rsid w:val="002A71A6"/>
    <w:rsid w:val="002A7805"/>
    <w:rsid w:val="002B075E"/>
    <w:rsid w:val="002B12C0"/>
    <w:rsid w:val="002B208E"/>
    <w:rsid w:val="002B2154"/>
    <w:rsid w:val="002B2601"/>
    <w:rsid w:val="002B27B1"/>
    <w:rsid w:val="002B2C12"/>
    <w:rsid w:val="002B3716"/>
    <w:rsid w:val="002B3987"/>
    <w:rsid w:val="002B4758"/>
    <w:rsid w:val="002B4870"/>
    <w:rsid w:val="002B4DA6"/>
    <w:rsid w:val="002B5189"/>
    <w:rsid w:val="002B54E2"/>
    <w:rsid w:val="002B590A"/>
    <w:rsid w:val="002B5CF8"/>
    <w:rsid w:val="002B620A"/>
    <w:rsid w:val="002B767A"/>
    <w:rsid w:val="002B7C6A"/>
    <w:rsid w:val="002B7F0F"/>
    <w:rsid w:val="002C02C3"/>
    <w:rsid w:val="002C0BDD"/>
    <w:rsid w:val="002C0F91"/>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5D1"/>
    <w:rsid w:val="002C7DD7"/>
    <w:rsid w:val="002C7F6B"/>
    <w:rsid w:val="002C7FE0"/>
    <w:rsid w:val="002D0DE8"/>
    <w:rsid w:val="002D178D"/>
    <w:rsid w:val="002D1919"/>
    <w:rsid w:val="002D1D8B"/>
    <w:rsid w:val="002D254F"/>
    <w:rsid w:val="002D2ED0"/>
    <w:rsid w:val="002D383C"/>
    <w:rsid w:val="002D3C08"/>
    <w:rsid w:val="002D4F03"/>
    <w:rsid w:val="002D518C"/>
    <w:rsid w:val="002D5427"/>
    <w:rsid w:val="002D5642"/>
    <w:rsid w:val="002D58BE"/>
    <w:rsid w:val="002D633B"/>
    <w:rsid w:val="002D6F69"/>
    <w:rsid w:val="002D7594"/>
    <w:rsid w:val="002E02EB"/>
    <w:rsid w:val="002E0978"/>
    <w:rsid w:val="002E11F2"/>
    <w:rsid w:val="002E1878"/>
    <w:rsid w:val="002E188B"/>
    <w:rsid w:val="002E18A2"/>
    <w:rsid w:val="002E2970"/>
    <w:rsid w:val="002E29D9"/>
    <w:rsid w:val="002E2A4A"/>
    <w:rsid w:val="002E2E53"/>
    <w:rsid w:val="002E2F17"/>
    <w:rsid w:val="002E3217"/>
    <w:rsid w:val="002E3612"/>
    <w:rsid w:val="002E37E7"/>
    <w:rsid w:val="002E3EB4"/>
    <w:rsid w:val="002E3FC2"/>
    <w:rsid w:val="002E4267"/>
    <w:rsid w:val="002E4A46"/>
    <w:rsid w:val="002E4DE1"/>
    <w:rsid w:val="002E4EDE"/>
    <w:rsid w:val="002E50C1"/>
    <w:rsid w:val="002E51B0"/>
    <w:rsid w:val="002E5345"/>
    <w:rsid w:val="002E557E"/>
    <w:rsid w:val="002E56DE"/>
    <w:rsid w:val="002E6958"/>
    <w:rsid w:val="002E6C98"/>
    <w:rsid w:val="002E7065"/>
    <w:rsid w:val="002E7687"/>
    <w:rsid w:val="002F0564"/>
    <w:rsid w:val="002F072E"/>
    <w:rsid w:val="002F08A5"/>
    <w:rsid w:val="002F08F0"/>
    <w:rsid w:val="002F1E21"/>
    <w:rsid w:val="002F28F9"/>
    <w:rsid w:val="002F2FB3"/>
    <w:rsid w:val="002F307B"/>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0BCF"/>
    <w:rsid w:val="00301549"/>
    <w:rsid w:val="00301862"/>
    <w:rsid w:val="00301DCB"/>
    <w:rsid w:val="00301F56"/>
    <w:rsid w:val="0030222D"/>
    <w:rsid w:val="00302443"/>
    <w:rsid w:val="0030320F"/>
    <w:rsid w:val="00303E1B"/>
    <w:rsid w:val="00303F82"/>
    <w:rsid w:val="0030434B"/>
    <w:rsid w:val="00304C58"/>
    <w:rsid w:val="00304E72"/>
    <w:rsid w:val="00305885"/>
    <w:rsid w:val="0030632C"/>
    <w:rsid w:val="00306353"/>
    <w:rsid w:val="003067C0"/>
    <w:rsid w:val="003077B7"/>
    <w:rsid w:val="00307913"/>
    <w:rsid w:val="003079A2"/>
    <w:rsid w:val="00310185"/>
    <w:rsid w:val="00310508"/>
    <w:rsid w:val="00310FB7"/>
    <w:rsid w:val="00311320"/>
    <w:rsid w:val="00311EAA"/>
    <w:rsid w:val="00312509"/>
    <w:rsid w:val="003137E6"/>
    <w:rsid w:val="00313EBB"/>
    <w:rsid w:val="00314260"/>
    <w:rsid w:val="003143F2"/>
    <w:rsid w:val="00314690"/>
    <w:rsid w:val="00315FC6"/>
    <w:rsid w:val="0031635E"/>
    <w:rsid w:val="0031656B"/>
    <w:rsid w:val="003168E8"/>
    <w:rsid w:val="00317642"/>
    <w:rsid w:val="00317767"/>
    <w:rsid w:val="00317BBA"/>
    <w:rsid w:val="00317D6E"/>
    <w:rsid w:val="00317DC1"/>
    <w:rsid w:val="0032048E"/>
    <w:rsid w:val="0032094C"/>
    <w:rsid w:val="00320B54"/>
    <w:rsid w:val="0032100D"/>
    <w:rsid w:val="00321446"/>
    <w:rsid w:val="00321A0A"/>
    <w:rsid w:val="00321ACC"/>
    <w:rsid w:val="0032205E"/>
    <w:rsid w:val="00322300"/>
    <w:rsid w:val="003223AF"/>
    <w:rsid w:val="003224B8"/>
    <w:rsid w:val="00324249"/>
    <w:rsid w:val="003242F6"/>
    <w:rsid w:val="003245ED"/>
    <w:rsid w:val="00324626"/>
    <w:rsid w:val="0032505F"/>
    <w:rsid w:val="0032536A"/>
    <w:rsid w:val="003259FC"/>
    <w:rsid w:val="00326D9E"/>
    <w:rsid w:val="00326DEC"/>
    <w:rsid w:val="00326E97"/>
    <w:rsid w:val="00327084"/>
    <w:rsid w:val="003270DC"/>
    <w:rsid w:val="00327558"/>
    <w:rsid w:val="003275A8"/>
    <w:rsid w:val="0032776C"/>
    <w:rsid w:val="00330F4E"/>
    <w:rsid w:val="003316FA"/>
    <w:rsid w:val="0033171E"/>
    <w:rsid w:val="00332021"/>
    <w:rsid w:val="00332F16"/>
    <w:rsid w:val="00334395"/>
    <w:rsid w:val="00334E75"/>
    <w:rsid w:val="00334E7F"/>
    <w:rsid w:val="00335689"/>
    <w:rsid w:val="00335F65"/>
    <w:rsid w:val="00335FB5"/>
    <w:rsid w:val="003367EA"/>
    <w:rsid w:val="0033770A"/>
    <w:rsid w:val="0034005C"/>
    <w:rsid w:val="00340456"/>
    <w:rsid w:val="0034079B"/>
    <w:rsid w:val="00340EBE"/>
    <w:rsid w:val="0034102B"/>
    <w:rsid w:val="003416BB"/>
    <w:rsid w:val="00341703"/>
    <w:rsid w:val="003426E8"/>
    <w:rsid w:val="003434FE"/>
    <w:rsid w:val="003437B1"/>
    <w:rsid w:val="00343C7A"/>
    <w:rsid w:val="003443C2"/>
    <w:rsid w:val="00344648"/>
    <w:rsid w:val="003448E7"/>
    <w:rsid w:val="00344D5C"/>
    <w:rsid w:val="003451D4"/>
    <w:rsid w:val="00345600"/>
    <w:rsid w:val="00345735"/>
    <w:rsid w:val="00345B5B"/>
    <w:rsid w:val="003462E0"/>
    <w:rsid w:val="0034694F"/>
    <w:rsid w:val="003469CB"/>
    <w:rsid w:val="00346F82"/>
    <w:rsid w:val="003474DF"/>
    <w:rsid w:val="00347A33"/>
    <w:rsid w:val="0035062F"/>
    <w:rsid w:val="003507DA"/>
    <w:rsid w:val="00350A6A"/>
    <w:rsid w:val="00350D6B"/>
    <w:rsid w:val="003513F1"/>
    <w:rsid w:val="00351690"/>
    <w:rsid w:val="00351F47"/>
    <w:rsid w:val="003528A4"/>
    <w:rsid w:val="003529DD"/>
    <w:rsid w:val="003536C8"/>
    <w:rsid w:val="00353932"/>
    <w:rsid w:val="00353C85"/>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680"/>
    <w:rsid w:val="00356E44"/>
    <w:rsid w:val="003571C0"/>
    <w:rsid w:val="0035764C"/>
    <w:rsid w:val="003577C2"/>
    <w:rsid w:val="00357C3D"/>
    <w:rsid w:val="00357C99"/>
    <w:rsid w:val="00360335"/>
    <w:rsid w:val="00361515"/>
    <w:rsid w:val="00361606"/>
    <w:rsid w:val="0036185B"/>
    <w:rsid w:val="00361BD7"/>
    <w:rsid w:val="00362959"/>
    <w:rsid w:val="003650E2"/>
    <w:rsid w:val="003655F2"/>
    <w:rsid w:val="003656C5"/>
    <w:rsid w:val="00365772"/>
    <w:rsid w:val="00366301"/>
    <w:rsid w:val="00366841"/>
    <w:rsid w:val="00366A8D"/>
    <w:rsid w:val="00367031"/>
    <w:rsid w:val="0036708E"/>
    <w:rsid w:val="003671A0"/>
    <w:rsid w:val="00367334"/>
    <w:rsid w:val="003673F4"/>
    <w:rsid w:val="00370112"/>
    <w:rsid w:val="00370561"/>
    <w:rsid w:val="003706F6"/>
    <w:rsid w:val="0037073A"/>
    <w:rsid w:val="0037130E"/>
    <w:rsid w:val="0037191E"/>
    <w:rsid w:val="00372819"/>
    <w:rsid w:val="00372DD6"/>
    <w:rsid w:val="0037364D"/>
    <w:rsid w:val="003738AD"/>
    <w:rsid w:val="003741DE"/>
    <w:rsid w:val="003749A3"/>
    <w:rsid w:val="00374BF2"/>
    <w:rsid w:val="00374D22"/>
    <w:rsid w:val="00374E0D"/>
    <w:rsid w:val="0037543B"/>
    <w:rsid w:val="003761FF"/>
    <w:rsid w:val="00376A45"/>
    <w:rsid w:val="00376B11"/>
    <w:rsid w:val="00376C0F"/>
    <w:rsid w:val="003777E7"/>
    <w:rsid w:val="00377DB3"/>
    <w:rsid w:val="00377F40"/>
    <w:rsid w:val="003800A7"/>
    <w:rsid w:val="0038109C"/>
    <w:rsid w:val="0038118B"/>
    <w:rsid w:val="003811FF"/>
    <w:rsid w:val="00381B89"/>
    <w:rsid w:val="00382316"/>
    <w:rsid w:val="00382680"/>
    <w:rsid w:val="00382992"/>
    <w:rsid w:val="003829A2"/>
    <w:rsid w:val="00382C55"/>
    <w:rsid w:val="00382E52"/>
    <w:rsid w:val="003830DD"/>
    <w:rsid w:val="00383D25"/>
    <w:rsid w:val="00383DF9"/>
    <w:rsid w:val="003841AD"/>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7C4"/>
    <w:rsid w:val="00391DBF"/>
    <w:rsid w:val="00392910"/>
    <w:rsid w:val="00392D2C"/>
    <w:rsid w:val="00392D98"/>
    <w:rsid w:val="00392DC2"/>
    <w:rsid w:val="00393E66"/>
    <w:rsid w:val="00394075"/>
    <w:rsid w:val="00394A92"/>
    <w:rsid w:val="00395074"/>
    <w:rsid w:val="00395A47"/>
    <w:rsid w:val="00395B72"/>
    <w:rsid w:val="00395C07"/>
    <w:rsid w:val="00395D4F"/>
    <w:rsid w:val="00395F3E"/>
    <w:rsid w:val="0039659E"/>
    <w:rsid w:val="00396884"/>
    <w:rsid w:val="00396C50"/>
    <w:rsid w:val="00397384"/>
    <w:rsid w:val="003978EB"/>
    <w:rsid w:val="003A0839"/>
    <w:rsid w:val="003A0DF4"/>
    <w:rsid w:val="003A0E52"/>
    <w:rsid w:val="003A109C"/>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9D9"/>
    <w:rsid w:val="003C0D13"/>
    <w:rsid w:val="003C1406"/>
    <w:rsid w:val="003C19E9"/>
    <w:rsid w:val="003C1A26"/>
    <w:rsid w:val="003C1B8D"/>
    <w:rsid w:val="003C2385"/>
    <w:rsid w:val="003C25AE"/>
    <w:rsid w:val="003C275C"/>
    <w:rsid w:val="003C2764"/>
    <w:rsid w:val="003C2D0A"/>
    <w:rsid w:val="003C3355"/>
    <w:rsid w:val="003C340A"/>
    <w:rsid w:val="003C3D36"/>
    <w:rsid w:val="003C3DAD"/>
    <w:rsid w:val="003C3EA6"/>
    <w:rsid w:val="003C3EB3"/>
    <w:rsid w:val="003C512A"/>
    <w:rsid w:val="003C5148"/>
    <w:rsid w:val="003C5567"/>
    <w:rsid w:val="003C5917"/>
    <w:rsid w:val="003C629C"/>
    <w:rsid w:val="003C6399"/>
    <w:rsid w:val="003C6ED3"/>
    <w:rsid w:val="003C71BF"/>
    <w:rsid w:val="003C7986"/>
    <w:rsid w:val="003D0067"/>
    <w:rsid w:val="003D09A7"/>
    <w:rsid w:val="003D0DA7"/>
    <w:rsid w:val="003D15DF"/>
    <w:rsid w:val="003D1B1E"/>
    <w:rsid w:val="003D1B8F"/>
    <w:rsid w:val="003D2246"/>
    <w:rsid w:val="003D23CD"/>
    <w:rsid w:val="003D27E8"/>
    <w:rsid w:val="003D324F"/>
    <w:rsid w:val="003D325F"/>
    <w:rsid w:val="003D3DF1"/>
    <w:rsid w:val="003D3F9B"/>
    <w:rsid w:val="003D458D"/>
    <w:rsid w:val="003D4642"/>
    <w:rsid w:val="003D4BE6"/>
    <w:rsid w:val="003D4C8A"/>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051"/>
    <w:rsid w:val="003E295B"/>
    <w:rsid w:val="003E29E2"/>
    <w:rsid w:val="003E2C3D"/>
    <w:rsid w:val="003E3932"/>
    <w:rsid w:val="003E4324"/>
    <w:rsid w:val="003E4700"/>
    <w:rsid w:val="003E4A53"/>
    <w:rsid w:val="003E4C42"/>
    <w:rsid w:val="003E4CBD"/>
    <w:rsid w:val="003E4F2E"/>
    <w:rsid w:val="003E5923"/>
    <w:rsid w:val="003E762E"/>
    <w:rsid w:val="003E7B63"/>
    <w:rsid w:val="003F0959"/>
    <w:rsid w:val="003F17F2"/>
    <w:rsid w:val="003F2021"/>
    <w:rsid w:val="003F2B9E"/>
    <w:rsid w:val="003F3229"/>
    <w:rsid w:val="003F41D8"/>
    <w:rsid w:val="003F44C7"/>
    <w:rsid w:val="003F49C6"/>
    <w:rsid w:val="003F53C9"/>
    <w:rsid w:val="003F59D5"/>
    <w:rsid w:val="003F5A7B"/>
    <w:rsid w:val="003F6388"/>
    <w:rsid w:val="003F65A1"/>
    <w:rsid w:val="003F703E"/>
    <w:rsid w:val="003F7DC4"/>
    <w:rsid w:val="00400E68"/>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17090"/>
    <w:rsid w:val="00420020"/>
    <w:rsid w:val="0042002D"/>
    <w:rsid w:val="00420D6D"/>
    <w:rsid w:val="00421263"/>
    <w:rsid w:val="0042140A"/>
    <w:rsid w:val="0042179D"/>
    <w:rsid w:val="00422427"/>
    <w:rsid w:val="00423176"/>
    <w:rsid w:val="00423BCF"/>
    <w:rsid w:val="00424048"/>
    <w:rsid w:val="004241AD"/>
    <w:rsid w:val="004242DC"/>
    <w:rsid w:val="00424F4E"/>
    <w:rsid w:val="00424F56"/>
    <w:rsid w:val="004255E3"/>
    <w:rsid w:val="00425752"/>
    <w:rsid w:val="00425DF5"/>
    <w:rsid w:val="00427A98"/>
    <w:rsid w:val="004302A6"/>
    <w:rsid w:val="004305B2"/>
    <w:rsid w:val="004309CD"/>
    <w:rsid w:val="00430AD7"/>
    <w:rsid w:val="00430BA1"/>
    <w:rsid w:val="00430C8D"/>
    <w:rsid w:val="00430F7F"/>
    <w:rsid w:val="00431993"/>
    <w:rsid w:val="00431A5D"/>
    <w:rsid w:val="00431ADE"/>
    <w:rsid w:val="00431B1E"/>
    <w:rsid w:val="00431D8B"/>
    <w:rsid w:val="0043227D"/>
    <w:rsid w:val="00432366"/>
    <w:rsid w:val="004324DF"/>
    <w:rsid w:val="00432D0B"/>
    <w:rsid w:val="00432DB0"/>
    <w:rsid w:val="00433224"/>
    <w:rsid w:val="004339D7"/>
    <w:rsid w:val="00433E95"/>
    <w:rsid w:val="00433F30"/>
    <w:rsid w:val="0043684E"/>
    <w:rsid w:val="0043710F"/>
    <w:rsid w:val="0043717D"/>
    <w:rsid w:val="00437690"/>
    <w:rsid w:val="00437BE8"/>
    <w:rsid w:val="004400A7"/>
    <w:rsid w:val="00440710"/>
    <w:rsid w:val="00442065"/>
    <w:rsid w:val="00442C1B"/>
    <w:rsid w:val="00443917"/>
    <w:rsid w:val="004444F9"/>
    <w:rsid w:val="00444742"/>
    <w:rsid w:val="00444EAD"/>
    <w:rsid w:val="00445147"/>
    <w:rsid w:val="004452D3"/>
    <w:rsid w:val="004453FF"/>
    <w:rsid w:val="00445777"/>
    <w:rsid w:val="004460E6"/>
    <w:rsid w:val="004472F0"/>
    <w:rsid w:val="00447C7D"/>
    <w:rsid w:val="00447FBA"/>
    <w:rsid w:val="00450109"/>
    <w:rsid w:val="00450725"/>
    <w:rsid w:val="0045074D"/>
    <w:rsid w:val="00450B18"/>
    <w:rsid w:val="0045102A"/>
    <w:rsid w:val="00451124"/>
    <w:rsid w:val="00451D97"/>
    <w:rsid w:val="0045242D"/>
    <w:rsid w:val="0045278B"/>
    <w:rsid w:val="0045294C"/>
    <w:rsid w:val="00452AEC"/>
    <w:rsid w:val="004530B7"/>
    <w:rsid w:val="0045313D"/>
    <w:rsid w:val="0045325D"/>
    <w:rsid w:val="00453563"/>
    <w:rsid w:val="004536E3"/>
    <w:rsid w:val="004544F8"/>
    <w:rsid w:val="00455550"/>
    <w:rsid w:val="00455845"/>
    <w:rsid w:val="00455BC8"/>
    <w:rsid w:val="00455C06"/>
    <w:rsid w:val="00456A7A"/>
    <w:rsid w:val="00456F91"/>
    <w:rsid w:val="00457712"/>
    <w:rsid w:val="00457C64"/>
    <w:rsid w:val="00457D18"/>
    <w:rsid w:val="0046028C"/>
    <w:rsid w:val="004602F2"/>
    <w:rsid w:val="00460660"/>
    <w:rsid w:val="004608AF"/>
    <w:rsid w:val="00460D53"/>
    <w:rsid w:val="00461766"/>
    <w:rsid w:val="004619E3"/>
    <w:rsid w:val="004623E3"/>
    <w:rsid w:val="0046291B"/>
    <w:rsid w:val="00462B5A"/>
    <w:rsid w:val="00462FAD"/>
    <w:rsid w:val="004630FD"/>
    <w:rsid w:val="004639CD"/>
    <w:rsid w:val="00463D94"/>
    <w:rsid w:val="00464FB6"/>
    <w:rsid w:val="00465677"/>
    <w:rsid w:val="00465BE0"/>
    <w:rsid w:val="00465FE7"/>
    <w:rsid w:val="004662A2"/>
    <w:rsid w:val="00466601"/>
    <w:rsid w:val="004670D0"/>
    <w:rsid w:val="004671B4"/>
    <w:rsid w:val="0046724B"/>
    <w:rsid w:val="00467719"/>
    <w:rsid w:val="0046792F"/>
    <w:rsid w:val="00467A3D"/>
    <w:rsid w:val="00467D85"/>
    <w:rsid w:val="0047023D"/>
    <w:rsid w:val="00470E24"/>
    <w:rsid w:val="0047190C"/>
    <w:rsid w:val="00471BB8"/>
    <w:rsid w:val="00472325"/>
    <w:rsid w:val="0047256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8EE"/>
    <w:rsid w:val="0048092D"/>
    <w:rsid w:val="00480A23"/>
    <w:rsid w:val="00480A9A"/>
    <w:rsid w:val="004815A1"/>
    <w:rsid w:val="00481660"/>
    <w:rsid w:val="00481899"/>
    <w:rsid w:val="0048191D"/>
    <w:rsid w:val="00481AEB"/>
    <w:rsid w:val="004822F0"/>
    <w:rsid w:val="004823B4"/>
    <w:rsid w:val="00482466"/>
    <w:rsid w:val="00482D51"/>
    <w:rsid w:val="004830D3"/>
    <w:rsid w:val="0048338C"/>
    <w:rsid w:val="00484E30"/>
    <w:rsid w:val="00485B1F"/>
    <w:rsid w:val="00486951"/>
    <w:rsid w:val="004870E2"/>
    <w:rsid w:val="004902D4"/>
    <w:rsid w:val="004903A6"/>
    <w:rsid w:val="00491013"/>
    <w:rsid w:val="004910AE"/>
    <w:rsid w:val="004915E0"/>
    <w:rsid w:val="004919EF"/>
    <w:rsid w:val="00491CCC"/>
    <w:rsid w:val="00491D9F"/>
    <w:rsid w:val="00491DF9"/>
    <w:rsid w:val="00491ED5"/>
    <w:rsid w:val="004924C5"/>
    <w:rsid w:val="00492702"/>
    <w:rsid w:val="00492778"/>
    <w:rsid w:val="004929E5"/>
    <w:rsid w:val="00492B23"/>
    <w:rsid w:val="00492E9D"/>
    <w:rsid w:val="00493014"/>
    <w:rsid w:val="00493237"/>
    <w:rsid w:val="00493D62"/>
    <w:rsid w:val="00493F36"/>
    <w:rsid w:val="004955BB"/>
    <w:rsid w:val="004959B5"/>
    <w:rsid w:val="00495DB4"/>
    <w:rsid w:val="00495F24"/>
    <w:rsid w:val="00495F73"/>
    <w:rsid w:val="004960B6"/>
    <w:rsid w:val="0049653F"/>
    <w:rsid w:val="00496D3E"/>
    <w:rsid w:val="004977CF"/>
    <w:rsid w:val="00497FB2"/>
    <w:rsid w:val="004A0014"/>
    <w:rsid w:val="004A043F"/>
    <w:rsid w:val="004A068C"/>
    <w:rsid w:val="004A0763"/>
    <w:rsid w:val="004A1A72"/>
    <w:rsid w:val="004A1D25"/>
    <w:rsid w:val="004A3C82"/>
    <w:rsid w:val="004A3D6C"/>
    <w:rsid w:val="004A3D8E"/>
    <w:rsid w:val="004A441F"/>
    <w:rsid w:val="004A4909"/>
    <w:rsid w:val="004A6163"/>
    <w:rsid w:val="004A66B0"/>
    <w:rsid w:val="004A6E40"/>
    <w:rsid w:val="004A721D"/>
    <w:rsid w:val="004A7A53"/>
    <w:rsid w:val="004B0AD6"/>
    <w:rsid w:val="004B0F93"/>
    <w:rsid w:val="004B12F2"/>
    <w:rsid w:val="004B1AC0"/>
    <w:rsid w:val="004B1BDD"/>
    <w:rsid w:val="004B1C15"/>
    <w:rsid w:val="004B1E8A"/>
    <w:rsid w:val="004B2272"/>
    <w:rsid w:val="004B2F5C"/>
    <w:rsid w:val="004B2F73"/>
    <w:rsid w:val="004B305C"/>
    <w:rsid w:val="004B38F7"/>
    <w:rsid w:val="004B3E8C"/>
    <w:rsid w:val="004B60B9"/>
    <w:rsid w:val="004B6609"/>
    <w:rsid w:val="004B6677"/>
    <w:rsid w:val="004B6833"/>
    <w:rsid w:val="004B7534"/>
    <w:rsid w:val="004B7861"/>
    <w:rsid w:val="004B7980"/>
    <w:rsid w:val="004C19AE"/>
    <w:rsid w:val="004C1A9D"/>
    <w:rsid w:val="004C1D08"/>
    <w:rsid w:val="004C2B2E"/>
    <w:rsid w:val="004C2E99"/>
    <w:rsid w:val="004C3648"/>
    <w:rsid w:val="004C4F22"/>
    <w:rsid w:val="004C52E6"/>
    <w:rsid w:val="004C5729"/>
    <w:rsid w:val="004C57B7"/>
    <w:rsid w:val="004C5AE4"/>
    <w:rsid w:val="004C60F1"/>
    <w:rsid w:val="004C682A"/>
    <w:rsid w:val="004C6A73"/>
    <w:rsid w:val="004C79D7"/>
    <w:rsid w:val="004D0C4D"/>
    <w:rsid w:val="004D1137"/>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5EAF"/>
    <w:rsid w:val="004D65A7"/>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E88"/>
    <w:rsid w:val="004E6030"/>
    <w:rsid w:val="004E61C1"/>
    <w:rsid w:val="004E6228"/>
    <w:rsid w:val="004E7A0E"/>
    <w:rsid w:val="004E7E65"/>
    <w:rsid w:val="004F0386"/>
    <w:rsid w:val="004F06B9"/>
    <w:rsid w:val="004F1713"/>
    <w:rsid w:val="004F1BA7"/>
    <w:rsid w:val="004F1E1C"/>
    <w:rsid w:val="004F1F0C"/>
    <w:rsid w:val="004F2296"/>
    <w:rsid w:val="004F22BA"/>
    <w:rsid w:val="004F29C0"/>
    <w:rsid w:val="004F3912"/>
    <w:rsid w:val="004F3C7B"/>
    <w:rsid w:val="004F453C"/>
    <w:rsid w:val="004F4772"/>
    <w:rsid w:val="004F5530"/>
    <w:rsid w:val="004F5ADA"/>
    <w:rsid w:val="004F5E06"/>
    <w:rsid w:val="004F621A"/>
    <w:rsid w:val="004F63C8"/>
    <w:rsid w:val="004F6E4A"/>
    <w:rsid w:val="004F6F75"/>
    <w:rsid w:val="004F70CE"/>
    <w:rsid w:val="004F72C7"/>
    <w:rsid w:val="004F7964"/>
    <w:rsid w:val="005002F0"/>
    <w:rsid w:val="00500736"/>
    <w:rsid w:val="00502B79"/>
    <w:rsid w:val="00502DD5"/>
    <w:rsid w:val="00503316"/>
    <w:rsid w:val="00503A04"/>
    <w:rsid w:val="005048E5"/>
    <w:rsid w:val="00505F80"/>
    <w:rsid w:val="005061F6"/>
    <w:rsid w:val="00506384"/>
    <w:rsid w:val="00506C68"/>
    <w:rsid w:val="00506CC3"/>
    <w:rsid w:val="005071CC"/>
    <w:rsid w:val="0050770E"/>
    <w:rsid w:val="005104EE"/>
    <w:rsid w:val="00510778"/>
    <w:rsid w:val="00511185"/>
    <w:rsid w:val="00511220"/>
    <w:rsid w:val="00511EB5"/>
    <w:rsid w:val="00512B07"/>
    <w:rsid w:val="005138EF"/>
    <w:rsid w:val="00513B0E"/>
    <w:rsid w:val="00513D14"/>
    <w:rsid w:val="005141E6"/>
    <w:rsid w:val="005143A1"/>
    <w:rsid w:val="005144F3"/>
    <w:rsid w:val="005146C1"/>
    <w:rsid w:val="00514A82"/>
    <w:rsid w:val="00514D38"/>
    <w:rsid w:val="00515071"/>
    <w:rsid w:val="00515D05"/>
    <w:rsid w:val="00515DF6"/>
    <w:rsid w:val="005164DD"/>
    <w:rsid w:val="00516EA4"/>
    <w:rsid w:val="00516F98"/>
    <w:rsid w:val="00517447"/>
    <w:rsid w:val="005174E1"/>
    <w:rsid w:val="005179F3"/>
    <w:rsid w:val="00517C79"/>
    <w:rsid w:val="00517E4D"/>
    <w:rsid w:val="005204CD"/>
    <w:rsid w:val="005204F9"/>
    <w:rsid w:val="00520892"/>
    <w:rsid w:val="00520B60"/>
    <w:rsid w:val="00520B77"/>
    <w:rsid w:val="00520BEA"/>
    <w:rsid w:val="00520F55"/>
    <w:rsid w:val="00520F96"/>
    <w:rsid w:val="00521A96"/>
    <w:rsid w:val="0052291E"/>
    <w:rsid w:val="005237DD"/>
    <w:rsid w:val="0052391C"/>
    <w:rsid w:val="00523A6A"/>
    <w:rsid w:val="0052455B"/>
    <w:rsid w:val="005247B3"/>
    <w:rsid w:val="0052564B"/>
    <w:rsid w:val="00525BB0"/>
    <w:rsid w:val="00525D3F"/>
    <w:rsid w:val="00525DDE"/>
    <w:rsid w:val="00526BF8"/>
    <w:rsid w:val="00527200"/>
    <w:rsid w:val="00527B42"/>
    <w:rsid w:val="00530B91"/>
    <w:rsid w:val="00530D12"/>
    <w:rsid w:val="00530F0B"/>
    <w:rsid w:val="00530F18"/>
    <w:rsid w:val="005314A3"/>
    <w:rsid w:val="00531949"/>
    <w:rsid w:val="0053196D"/>
    <w:rsid w:val="00531BC6"/>
    <w:rsid w:val="00531BC9"/>
    <w:rsid w:val="005329D0"/>
    <w:rsid w:val="0053312F"/>
    <w:rsid w:val="00533576"/>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135D"/>
    <w:rsid w:val="00542340"/>
    <w:rsid w:val="00542AC7"/>
    <w:rsid w:val="00542D1D"/>
    <w:rsid w:val="005435BC"/>
    <w:rsid w:val="00543643"/>
    <w:rsid w:val="00544E01"/>
    <w:rsid w:val="0054527E"/>
    <w:rsid w:val="00545F5D"/>
    <w:rsid w:val="005469AB"/>
    <w:rsid w:val="0054734E"/>
    <w:rsid w:val="005479AE"/>
    <w:rsid w:val="00547B03"/>
    <w:rsid w:val="00547E51"/>
    <w:rsid w:val="0055060E"/>
    <w:rsid w:val="005518F6"/>
    <w:rsid w:val="00551EA0"/>
    <w:rsid w:val="0055206F"/>
    <w:rsid w:val="00552B2C"/>
    <w:rsid w:val="0055321E"/>
    <w:rsid w:val="005533D4"/>
    <w:rsid w:val="005538CD"/>
    <w:rsid w:val="00553E31"/>
    <w:rsid w:val="00553FEF"/>
    <w:rsid w:val="0055420E"/>
    <w:rsid w:val="0055469F"/>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2B7E"/>
    <w:rsid w:val="00562DB0"/>
    <w:rsid w:val="00562EC5"/>
    <w:rsid w:val="00563272"/>
    <w:rsid w:val="005641A5"/>
    <w:rsid w:val="00564D66"/>
    <w:rsid w:val="00565B19"/>
    <w:rsid w:val="00565CC5"/>
    <w:rsid w:val="005663F6"/>
    <w:rsid w:val="0056666A"/>
    <w:rsid w:val="0056675F"/>
    <w:rsid w:val="00566974"/>
    <w:rsid w:val="00566E96"/>
    <w:rsid w:val="005671D3"/>
    <w:rsid w:val="005673A1"/>
    <w:rsid w:val="00567470"/>
    <w:rsid w:val="00567A0D"/>
    <w:rsid w:val="00567D86"/>
    <w:rsid w:val="00570621"/>
    <w:rsid w:val="00571EC2"/>
    <w:rsid w:val="00572EDF"/>
    <w:rsid w:val="00573624"/>
    <w:rsid w:val="005737A9"/>
    <w:rsid w:val="00573DD3"/>
    <w:rsid w:val="00574171"/>
    <w:rsid w:val="00574487"/>
    <w:rsid w:val="00574A93"/>
    <w:rsid w:val="00574F71"/>
    <w:rsid w:val="005760CD"/>
    <w:rsid w:val="005768C6"/>
    <w:rsid w:val="0057691C"/>
    <w:rsid w:val="0057693F"/>
    <w:rsid w:val="00576BE7"/>
    <w:rsid w:val="0057767F"/>
    <w:rsid w:val="00577B8A"/>
    <w:rsid w:val="00580563"/>
    <w:rsid w:val="00580A5A"/>
    <w:rsid w:val="00580FD8"/>
    <w:rsid w:val="00581FCB"/>
    <w:rsid w:val="0058229E"/>
    <w:rsid w:val="005823D3"/>
    <w:rsid w:val="00583472"/>
    <w:rsid w:val="005842EB"/>
    <w:rsid w:val="00584EFE"/>
    <w:rsid w:val="005852C1"/>
    <w:rsid w:val="005855F5"/>
    <w:rsid w:val="00586A9B"/>
    <w:rsid w:val="005879E5"/>
    <w:rsid w:val="00587B12"/>
    <w:rsid w:val="005900A1"/>
    <w:rsid w:val="005901DB"/>
    <w:rsid w:val="005904E0"/>
    <w:rsid w:val="0059127D"/>
    <w:rsid w:val="00591645"/>
    <w:rsid w:val="00591F24"/>
    <w:rsid w:val="00592319"/>
    <w:rsid w:val="0059321E"/>
    <w:rsid w:val="00593296"/>
    <w:rsid w:val="00593369"/>
    <w:rsid w:val="005934FD"/>
    <w:rsid w:val="0059399E"/>
    <w:rsid w:val="00593A00"/>
    <w:rsid w:val="00594060"/>
    <w:rsid w:val="0059489B"/>
    <w:rsid w:val="00595398"/>
    <w:rsid w:val="005963D8"/>
    <w:rsid w:val="005965F7"/>
    <w:rsid w:val="00596A12"/>
    <w:rsid w:val="00596D4F"/>
    <w:rsid w:val="005972FF"/>
    <w:rsid w:val="005975F4"/>
    <w:rsid w:val="005979D3"/>
    <w:rsid w:val="005979DF"/>
    <w:rsid w:val="00597D16"/>
    <w:rsid w:val="00597E0D"/>
    <w:rsid w:val="005A0666"/>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4C64"/>
    <w:rsid w:val="005A5CB3"/>
    <w:rsid w:val="005A61B2"/>
    <w:rsid w:val="005A73DE"/>
    <w:rsid w:val="005A7426"/>
    <w:rsid w:val="005A767A"/>
    <w:rsid w:val="005A782E"/>
    <w:rsid w:val="005A7AA0"/>
    <w:rsid w:val="005B06C1"/>
    <w:rsid w:val="005B08A9"/>
    <w:rsid w:val="005B097B"/>
    <w:rsid w:val="005B0BBE"/>
    <w:rsid w:val="005B0FA2"/>
    <w:rsid w:val="005B1069"/>
    <w:rsid w:val="005B10F7"/>
    <w:rsid w:val="005B1BD8"/>
    <w:rsid w:val="005B1C38"/>
    <w:rsid w:val="005B201C"/>
    <w:rsid w:val="005B208E"/>
    <w:rsid w:val="005B213E"/>
    <w:rsid w:val="005B2CB5"/>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DF7"/>
    <w:rsid w:val="005D062C"/>
    <w:rsid w:val="005D097C"/>
    <w:rsid w:val="005D0A95"/>
    <w:rsid w:val="005D0B5D"/>
    <w:rsid w:val="005D0E9A"/>
    <w:rsid w:val="005D13E7"/>
    <w:rsid w:val="005D1E89"/>
    <w:rsid w:val="005D2969"/>
    <w:rsid w:val="005D29AB"/>
    <w:rsid w:val="005D2D0E"/>
    <w:rsid w:val="005D3840"/>
    <w:rsid w:val="005D40BB"/>
    <w:rsid w:val="005D4DFA"/>
    <w:rsid w:val="005D51C5"/>
    <w:rsid w:val="005D5A01"/>
    <w:rsid w:val="005D5DAE"/>
    <w:rsid w:val="005D5E5A"/>
    <w:rsid w:val="005D6717"/>
    <w:rsid w:val="005D72A6"/>
    <w:rsid w:val="005D7CFC"/>
    <w:rsid w:val="005D7F1F"/>
    <w:rsid w:val="005E023A"/>
    <w:rsid w:val="005E07B3"/>
    <w:rsid w:val="005E0FE9"/>
    <w:rsid w:val="005E12CD"/>
    <w:rsid w:val="005E167C"/>
    <w:rsid w:val="005E1ACC"/>
    <w:rsid w:val="005E1D75"/>
    <w:rsid w:val="005E203B"/>
    <w:rsid w:val="005E258B"/>
    <w:rsid w:val="005E3530"/>
    <w:rsid w:val="005E3B19"/>
    <w:rsid w:val="005E3D93"/>
    <w:rsid w:val="005E3F2A"/>
    <w:rsid w:val="005E404E"/>
    <w:rsid w:val="005E4070"/>
    <w:rsid w:val="005E42E2"/>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5F7D0C"/>
    <w:rsid w:val="00600094"/>
    <w:rsid w:val="00600D4D"/>
    <w:rsid w:val="00600E12"/>
    <w:rsid w:val="0060103E"/>
    <w:rsid w:val="006011B5"/>
    <w:rsid w:val="00601B96"/>
    <w:rsid w:val="00601E83"/>
    <w:rsid w:val="00601FD0"/>
    <w:rsid w:val="006026D0"/>
    <w:rsid w:val="0060294B"/>
    <w:rsid w:val="00602C5A"/>
    <w:rsid w:val="00603D9A"/>
    <w:rsid w:val="006043E1"/>
    <w:rsid w:val="0060483B"/>
    <w:rsid w:val="00604A3A"/>
    <w:rsid w:val="00605182"/>
    <w:rsid w:val="00605A62"/>
    <w:rsid w:val="00605B72"/>
    <w:rsid w:val="00606776"/>
    <w:rsid w:val="00606C51"/>
    <w:rsid w:val="00607000"/>
    <w:rsid w:val="006079ED"/>
    <w:rsid w:val="00607C4C"/>
    <w:rsid w:val="00607F47"/>
    <w:rsid w:val="00610451"/>
    <w:rsid w:val="00610B59"/>
    <w:rsid w:val="00610F8A"/>
    <w:rsid w:val="00610F8B"/>
    <w:rsid w:val="00610FF4"/>
    <w:rsid w:val="00611010"/>
    <w:rsid w:val="006114C7"/>
    <w:rsid w:val="006117BC"/>
    <w:rsid w:val="00611B13"/>
    <w:rsid w:val="00611D75"/>
    <w:rsid w:val="00611EDD"/>
    <w:rsid w:val="006125C9"/>
    <w:rsid w:val="00612785"/>
    <w:rsid w:val="00612793"/>
    <w:rsid w:val="00612D1A"/>
    <w:rsid w:val="006134B9"/>
    <w:rsid w:val="00613869"/>
    <w:rsid w:val="006138EF"/>
    <w:rsid w:val="006139A0"/>
    <w:rsid w:val="00613E13"/>
    <w:rsid w:val="00614B4F"/>
    <w:rsid w:val="00614BBE"/>
    <w:rsid w:val="00614D08"/>
    <w:rsid w:val="00614DC9"/>
    <w:rsid w:val="00614E5F"/>
    <w:rsid w:val="006151FE"/>
    <w:rsid w:val="006157A8"/>
    <w:rsid w:val="00615DC1"/>
    <w:rsid w:val="0061646C"/>
    <w:rsid w:val="00616C1E"/>
    <w:rsid w:val="00617231"/>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0F"/>
    <w:rsid w:val="00631739"/>
    <w:rsid w:val="0063178D"/>
    <w:rsid w:val="00632298"/>
    <w:rsid w:val="0063255B"/>
    <w:rsid w:val="00632C9C"/>
    <w:rsid w:val="0063344E"/>
    <w:rsid w:val="0063349C"/>
    <w:rsid w:val="00633DFE"/>
    <w:rsid w:val="00634479"/>
    <w:rsid w:val="00634500"/>
    <w:rsid w:val="00634523"/>
    <w:rsid w:val="00635C81"/>
    <w:rsid w:val="00636AA8"/>
    <w:rsid w:val="00637E12"/>
    <w:rsid w:val="006406F7"/>
    <w:rsid w:val="006409AF"/>
    <w:rsid w:val="00640A84"/>
    <w:rsid w:val="00640C8D"/>
    <w:rsid w:val="00640F45"/>
    <w:rsid w:val="006413BC"/>
    <w:rsid w:val="00641745"/>
    <w:rsid w:val="00641DA5"/>
    <w:rsid w:val="00641FD0"/>
    <w:rsid w:val="006420E8"/>
    <w:rsid w:val="006421AF"/>
    <w:rsid w:val="0064328F"/>
    <w:rsid w:val="006435F9"/>
    <w:rsid w:val="00643661"/>
    <w:rsid w:val="00643740"/>
    <w:rsid w:val="006446ED"/>
    <w:rsid w:val="006451A3"/>
    <w:rsid w:val="00646717"/>
    <w:rsid w:val="006468DF"/>
    <w:rsid w:val="00646B9B"/>
    <w:rsid w:val="006476C8"/>
    <w:rsid w:val="006500C1"/>
    <w:rsid w:val="00650904"/>
    <w:rsid w:val="00650F0B"/>
    <w:rsid w:val="0065198D"/>
    <w:rsid w:val="00651C87"/>
    <w:rsid w:val="00651F00"/>
    <w:rsid w:val="00652097"/>
    <w:rsid w:val="0065299A"/>
    <w:rsid w:val="0065349A"/>
    <w:rsid w:val="00653BA8"/>
    <w:rsid w:val="0065429D"/>
    <w:rsid w:val="0065442D"/>
    <w:rsid w:val="00654948"/>
    <w:rsid w:val="00654E9A"/>
    <w:rsid w:val="00655359"/>
    <w:rsid w:val="0065587E"/>
    <w:rsid w:val="00655B16"/>
    <w:rsid w:val="00655C27"/>
    <w:rsid w:val="00655E36"/>
    <w:rsid w:val="0065661E"/>
    <w:rsid w:val="00656699"/>
    <w:rsid w:val="00656B9E"/>
    <w:rsid w:val="00656C79"/>
    <w:rsid w:val="00660215"/>
    <w:rsid w:val="0066058F"/>
    <w:rsid w:val="00660CB2"/>
    <w:rsid w:val="00660D46"/>
    <w:rsid w:val="0066190A"/>
    <w:rsid w:val="00661C98"/>
    <w:rsid w:val="0066223C"/>
    <w:rsid w:val="00662272"/>
    <w:rsid w:val="00662FA1"/>
    <w:rsid w:val="006630F7"/>
    <w:rsid w:val="00663161"/>
    <w:rsid w:val="00663843"/>
    <w:rsid w:val="00663B14"/>
    <w:rsid w:val="00663D7D"/>
    <w:rsid w:val="006645DA"/>
    <w:rsid w:val="0066492B"/>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1232"/>
    <w:rsid w:val="006720C6"/>
    <w:rsid w:val="00672508"/>
    <w:rsid w:val="00672568"/>
    <w:rsid w:val="00672AAB"/>
    <w:rsid w:val="00673428"/>
    <w:rsid w:val="00673E79"/>
    <w:rsid w:val="00673F6B"/>
    <w:rsid w:val="00674629"/>
    <w:rsid w:val="006749FF"/>
    <w:rsid w:val="00675059"/>
    <w:rsid w:val="006754E6"/>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0"/>
    <w:rsid w:val="00682873"/>
    <w:rsid w:val="00682D31"/>
    <w:rsid w:val="00682E72"/>
    <w:rsid w:val="00683001"/>
    <w:rsid w:val="00683216"/>
    <w:rsid w:val="00683332"/>
    <w:rsid w:val="00683450"/>
    <w:rsid w:val="006834CB"/>
    <w:rsid w:val="0068378B"/>
    <w:rsid w:val="00683BB4"/>
    <w:rsid w:val="0068461B"/>
    <w:rsid w:val="00684A94"/>
    <w:rsid w:val="00684F04"/>
    <w:rsid w:val="00685019"/>
    <w:rsid w:val="00685785"/>
    <w:rsid w:val="00685B0A"/>
    <w:rsid w:val="006864B2"/>
    <w:rsid w:val="00687AD7"/>
    <w:rsid w:val="00687BA7"/>
    <w:rsid w:val="00687BAB"/>
    <w:rsid w:val="006903A2"/>
    <w:rsid w:val="00690455"/>
    <w:rsid w:val="00690677"/>
    <w:rsid w:val="006906FC"/>
    <w:rsid w:val="00690707"/>
    <w:rsid w:val="006907E7"/>
    <w:rsid w:val="006913F6"/>
    <w:rsid w:val="0069144D"/>
    <w:rsid w:val="006921EE"/>
    <w:rsid w:val="00692E79"/>
    <w:rsid w:val="006931A1"/>
    <w:rsid w:val="006933B6"/>
    <w:rsid w:val="006933D4"/>
    <w:rsid w:val="006934C0"/>
    <w:rsid w:val="006936A8"/>
    <w:rsid w:val="00693B64"/>
    <w:rsid w:val="006951DB"/>
    <w:rsid w:val="0069521D"/>
    <w:rsid w:val="00695C58"/>
    <w:rsid w:val="00696D9D"/>
    <w:rsid w:val="00696E4F"/>
    <w:rsid w:val="00697873"/>
    <w:rsid w:val="006978FE"/>
    <w:rsid w:val="006A0AD1"/>
    <w:rsid w:val="006A0DAD"/>
    <w:rsid w:val="006A14F4"/>
    <w:rsid w:val="006A1752"/>
    <w:rsid w:val="006A21F7"/>
    <w:rsid w:val="006A224E"/>
    <w:rsid w:val="006A242B"/>
    <w:rsid w:val="006A24FB"/>
    <w:rsid w:val="006A2A0F"/>
    <w:rsid w:val="006A3A29"/>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927"/>
    <w:rsid w:val="006B097F"/>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B9D"/>
    <w:rsid w:val="006B7E1A"/>
    <w:rsid w:val="006C02BB"/>
    <w:rsid w:val="006C0521"/>
    <w:rsid w:val="006C08CF"/>
    <w:rsid w:val="006C0FF1"/>
    <w:rsid w:val="006C1651"/>
    <w:rsid w:val="006C2C9F"/>
    <w:rsid w:val="006C41DF"/>
    <w:rsid w:val="006C4766"/>
    <w:rsid w:val="006C48AF"/>
    <w:rsid w:val="006C4B06"/>
    <w:rsid w:val="006C5186"/>
    <w:rsid w:val="006C60B2"/>
    <w:rsid w:val="006C65CE"/>
    <w:rsid w:val="006C6A37"/>
    <w:rsid w:val="006C7606"/>
    <w:rsid w:val="006C7844"/>
    <w:rsid w:val="006D020E"/>
    <w:rsid w:val="006D0252"/>
    <w:rsid w:val="006D0B55"/>
    <w:rsid w:val="006D15C8"/>
    <w:rsid w:val="006D1766"/>
    <w:rsid w:val="006D1D65"/>
    <w:rsid w:val="006D2274"/>
    <w:rsid w:val="006D2913"/>
    <w:rsid w:val="006D2BC5"/>
    <w:rsid w:val="006D2D02"/>
    <w:rsid w:val="006D2DAC"/>
    <w:rsid w:val="006D3B38"/>
    <w:rsid w:val="006D40D3"/>
    <w:rsid w:val="006D4958"/>
    <w:rsid w:val="006D544A"/>
    <w:rsid w:val="006D54DB"/>
    <w:rsid w:val="006D5686"/>
    <w:rsid w:val="006D5754"/>
    <w:rsid w:val="006D5CB8"/>
    <w:rsid w:val="006D637D"/>
    <w:rsid w:val="006D731E"/>
    <w:rsid w:val="006D7493"/>
    <w:rsid w:val="006D7A9C"/>
    <w:rsid w:val="006E0216"/>
    <w:rsid w:val="006E090B"/>
    <w:rsid w:val="006E1161"/>
    <w:rsid w:val="006E168B"/>
    <w:rsid w:val="006E1A3A"/>
    <w:rsid w:val="006E2255"/>
    <w:rsid w:val="006E2E3E"/>
    <w:rsid w:val="006E2F5B"/>
    <w:rsid w:val="006E2FCC"/>
    <w:rsid w:val="006E3089"/>
    <w:rsid w:val="006E3625"/>
    <w:rsid w:val="006E3C31"/>
    <w:rsid w:val="006E49ED"/>
    <w:rsid w:val="006E56F1"/>
    <w:rsid w:val="006E571D"/>
    <w:rsid w:val="006E5720"/>
    <w:rsid w:val="006E6E80"/>
    <w:rsid w:val="006E7038"/>
    <w:rsid w:val="006E7108"/>
    <w:rsid w:val="006E7218"/>
    <w:rsid w:val="006E7437"/>
    <w:rsid w:val="006E744C"/>
    <w:rsid w:val="006E7853"/>
    <w:rsid w:val="006E7A67"/>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6F6CBD"/>
    <w:rsid w:val="00701415"/>
    <w:rsid w:val="007016D4"/>
    <w:rsid w:val="00701A77"/>
    <w:rsid w:val="00701EB3"/>
    <w:rsid w:val="00702207"/>
    <w:rsid w:val="00702C1E"/>
    <w:rsid w:val="00702F95"/>
    <w:rsid w:val="007031CE"/>
    <w:rsid w:val="00703241"/>
    <w:rsid w:val="00703E97"/>
    <w:rsid w:val="007042D1"/>
    <w:rsid w:val="00704AFC"/>
    <w:rsid w:val="00704FB9"/>
    <w:rsid w:val="00705BA2"/>
    <w:rsid w:val="00706033"/>
    <w:rsid w:val="007067EC"/>
    <w:rsid w:val="00706A23"/>
    <w:rsid w:val="00706B70"/>
    <w:rsid w:val="00707027"/>
    <w:rsid w:val="0070721A"/>
    <w:rsid w:val="0070721E"/>
    <w:rsid w:val="00707877"/>
    <w:rsid w:val="0071027D"/>
    <w:rsid w:val="00710D62"/>
    <w:rsid w:val="00710E9C"/>
    <w:rsid w:val="00713715"/>
    <w:rsid w:val="0071388E"/>
    <w:rsid w:val="00713ACE"/>
    <w:rsid w:val="00714386"/>
    <w:rsid w:val="00714F95"/>
    <w:rsid w:val="00715533"/>
    <w:rsid w:val="0071637C"/>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147"/>
    <w:rsid w:val="00732472"/>
    <w:rsid w:val="0073284D"/>
    <w:rsid w:val="00732AB8"/>
    <w:rsid w:val="00732ABB"/>
    <w:rsid w:val="00734156"/>
    <w:rsid w:val="007342AB"/>
    <w:rsid w:val="00734DD4"/>
    <w:rsid w:val="00735A86"/>
    <w:rsid w:val="007367D6"/>
    <w:rsid w:val="00736BB2"/>
    <w:rsid w:val="00736D10"/>
    <w:rsid w:val="00737255"/>
    <w:rsid w:val="00737378"/>
    <w:rsid w:val="00737717"/>
    <w:rsid w:val="007377D8"/>
    <w:rsid w:val="007378D7"/>
    <w:rsid w:val="00737E27"/>
    <w:rsid w:val="00737E56"/>
    <w:rsid w:val="007404C1"/>
    <w:rsid w:val="00740548"/>
    <w:rsid w:val="00740816"/>
    <w:rsid w:val="0074101A"/>
    <w:rsid w:val="007412AD"/>
    <w:rsid w:val="00741752"/>
    <w:rsid w:val="007420A4"/>
    <w:rsid w:val="007420FD"/>
    <w:rsid w:val="00742DDC"/>
    <w:rsid w:val="007434CC"/>
    <w:rsid w:val="00743707"/>
    <w:rsid w:val="007437C8"/>
    <w:rsid w:val="00743D13"/>
    <w:rsid w:val="00743E28"/>
    <w:rsid w:val="007440BB"/>
    <w:rsid w:val="007443C6"/>
    <w:rsid w:val="0074473E"/>
    <w:rsid w:val="00744BEE"/>
    <w:rsid w:val="0074563A"/>
    <w:rsid w:val="007457B6"/>
    <w:rsid w:val="00745ACC"/>
    <w:rsid w:val="00745E7A"/>
    <w:rsid w:val="00746AD4"/>
    <w:rsid w:val="007475CB"/>
    <w:rsid w:val="00747DDE"/>
    <w:rsid w:val="00750179"/>
    <w:rsid w:val="007504BD"/>
    <w:rsid w:val="00750BFD"/>
    <w:rsid w:val="00750E8E"/>
    <w:rsid w:val="007515F9"/>
    <w:rsid w:val="00753706"/>
    <w:rsid w:val="00753F21"/>
    <w:rsid w:val="007542C4"/>
    <w:rsid w:val="007543CF"/>
    <w:rsid w:val="007544EA"/>
    <w:rsid w:val="00755910"/>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7F4"/>
    <w:rsid w:val="00763AB8"/>
    <w:rsid w:val="00763D91"/>
    <w:rsid w:val="00763E4F"/>
    <w:rsid w:val="00764332"/>
    <w:rsid w:val="00764C45"/>
    <w:rsid w:val="00764CD4"/>
    <w:rsid w:val="007653C9"/>
    <w:rsid w:val="00765BF9"/>
    <w:rsid w:val="00766203"/>
    <w:rsid w:val="007662C8"/>
    <w:rsid w:val="00766483"/>
    <w:rsid w:val="00766773"/>
    <w:rsid w:val="00766A23"/>
    <w:rsid w:val="00766EB9"/>
    <w:rsid w:val="007673AF"/>
    <w:rsid w:val="007700A6"/>
    <w:rsid w:val="0077128A"/>
    <w:rsid w:val="007714CB"/>
    <w:rsid w:val="007714FB"/>
    <w:rsid w:val="00771681"/>
    <w:rsid w:val="00772144"/>
    <w:rsid w:val="00772B27"/>
    <w:rsid w:val="007736DD"/>
    <w:rsid w:val="00773BA7"/>
    <w:rsid w:val="00773BBB"/>
    <w:rsid w:val="00774656"/>
    <w:rsid w:val="0077489C"/>
    <w:rsid w:val="00774906"/>
    <w:rsid w:val="00774C6E"/>
    <w:rsid w:val="00775FBA"/>
    <w:rsid w:val="007764DF"/>
    <w:rsid w:val="00776513"/>
    <w:rsid w:val="00776693"/>
    <w:rsid w:val="0077690D"/>
    <w:rsid w:val="0077755F"/>
    <w:rsid w:val="007775E0"/>
    <w:rsid w:val="00777ECD"/>
    <w:rsid w:val="007803E0"/>
    <w:rsid w:val="00780A03"/>
    <w:rsid w:val="007814ED"/>
    <w:rsid w:val="007825C3"/>
    <w:rsid w:val="00783093"/>
    <w:rsid w:val="0078312E"/>
    <w:rsid w:val="007832DE"/>
    <w:rsid w:val="00783D8F"/>
    <w:rsid w:val="00784346"/>
    <w:rsid w:val="0078511A"/>
    <w:rsid w:val="0078558C"/>
    <w:rsid w:val="00786581"/>
    <w:rsid w:val="00786B03"/>
    <w:rsid w:val="007872B5"/>
    <w:rsid w:val="00787767"/>
    <w:rsid w:val="00787815"/>
    <w:rsid w:val="00787CF4"/>
    <w:rsid w:val="007907E7"/>
    <w:rsid w:val="0079173E"/>
    <w:rsid w:val="007917E6"/>
    <w:rsid w:val="00791D0C"/>
    <w:rsid w:val="00791D31"/>
    <w:rsid w:val="007920D4"/>
    <w:rsid w:val="007926AC"/>
    <w:rsid w:val="00793785"/>
    <w:rsid w:val="00794047"/>
    <w:rsid w:val="007945C2"/>
    <w:rsid w:val="00794ACC"/>
    <w:rsid w:val="00794FF3"/>
    <w:rsid w:val="0079515A"/>
    <w:rsid w:val="00795512"/>
    <w:rsid w:val="007957DE"/>
    <w:rsid w:val="00796622"/>
    <w:rsid w:val="00796849"/>
    <w:rsid w:val="00796A45"/>
    <w:rsid w:val="00796F6E"/>
    <w:rsid w:val="007975C7"/>
    <w:rsid w:val="007976C5"/>
    <w:rsid w:val="0079774B"/>
    <w:rsid w:val="007A04B6"/>
    <w:rsid w:val="007A06AB"/>
    <w:rsid w:val="007A07D2"/>
    <w:rsid w:val="007A0F4D"/>
    <w:rsid w:val="007A19C6"/>
    <w:rsid w:val="007A1F80"/>
    <w:rsid w:val="007A2091"/>
    <w:rsid w:val="007A325F"/>
    <w:rsid w:val="007A341C"/>
    <w:rsid w:val="007A383F"/>
    <w:rsid w:val="007A3F22"/>
    <w:rsid w:val="007A418D"/>
    <w:rsid w:val="007A4350"/>
    <w:rsid w:val="007A4BE4"/>
    <w:rsid w:val="007A5043"/>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3E3"/>
    <w:rsid w:val="007B2A55"/>
    <w:rsid w:val="007B30B9"/>
    <w:rsid w:val="007B3441"/>
    <w:rsid w:val="007B42AA"/>
    <w:rsid w:val="007B4BA2"/>
    <w:rsid w:val="007B5455"/>
    <w:rsid w:val="007B57EC"/>
    <w:rsid w:val="007B6592"/>
    <w:rsid w:val="007B74FE"/>
    <w:rsid w:val="007B7552"/>
    <w:rsid w:val="007B7EA4"/>
    <w:rsid w:val="007C028E"/>
    <w:rsid w:val="007C0C3A"/>
    <w:rsid w:val="007C0D43"/>
    <w:rsid w:val="007C1257"/>
    <w:rsid w:val="007C1569"/>
    <w:rsid w:val="007C15CB"/>
    <w:rsid w:val="007C1741"/>
    <w:rsid w:val="007C1BC0"/>
    <w:rsid w:val="007C1D34"/>
    <w:rsid w:val="007C1F03"/>
    <w:rsid w:val="007C25A8"/>
    <w:rsid w:val="007C2724"/>
    <w:rsid w:val="007C36D9"/>
    <w:rsid w:val="007C3E78"/>
    <w:rsid w:val="007C41C8"/>
    <w:rsid w:val="007C4371"/>
    <w:rsid w:val="007C4532"/>
    <w:rsid w:val="007C4A02"/>
    <w:rsid w:val="007C59A6"/>
    <w:rsid w:val="007C6569"/>
    <w:rsid w:val="007C6B6C"/>
    <w:rsid w:val="007C6C3C"/>
    <w:rsid w:val="007C739D"/>
    <w:rsid w:val="007C74AC"/>
    <w:rsid w:val="007C772D"/>
    <w:rsid w:val="007C7D98"/>
    <w:rsid w:val="007D0254"/>
    <w:rsid w:val="007D0378"/>
    <w:rsid w:val="007D0D48"/>
    <w:rsid w:val="007D115E"/>
    <w:rsid w:val="007D137E"/>
    <w:rsid w:val="007D165A"/>
    <w:rsid w:val="007D1F71"/>
    <w:rsid w:val="007D237C"/>
    <w:rsid w:val="007D33DB"/>
    <w:rsid w:val="007D38E2"/>
    <w:rsid w:val="007D43B2"/>
    <w:rsid w:val="007D4688"/>
    <w:rsid w:val="007D4DE8"/>
    <w:rsid w:val="007D50D2"/>
    <w:rsid w:val="007D51A7"/>
    <w:rsid w:val="007D560B"/>
    <w:rsid w:val="007D5BC6"/>
    <w:rsid w:val="007D63AA"/>
    <w:rsid w:val="007D6AE9"/>
    <w:rsid w:val="007D6F9E"/>
    <w:rsid w:val="007D7B13"/>
    <w:rsid w:val="007D7B54"/>
    <w:rsid w:val="007D7E68"/>
    <w:rsid w:val="007E12AD"/>
    <w:rsid w:val="007E131A"/>
    <w:rsid w:val="007E17CB"/>
    <w:rsid w:val="007E1821"/>
    <w:rsid w:val="007E18CC"/>
    <w:rsid w:val="007E1D10"/>
    <w:rsid w:val="007E24A6"/>
    <w:rsid w:val="007E251E"/>
    <w:rsid w:val="007E2730"/>
    <w:rsid w:val="007E2A37"/>
    <w:rsid w:val="007E3672"/>
    <w:rsid w:val="007E36C7"/>
    <w:rsid w:val="007E3976"/>
    <w:rsid w:val="007E3ADE"/>
    <w:rsid w:val="007E3D77"/>
    <w:rsid w:val="007E3EA4"/>
    <w:rsid w:val="007E40B4"/>
    <w:rsid w:val="007E4113"/>
    <w:rsid w:val="007E4442"/>
    <w:rsid w:val="007E4A58"/>
    <w:rsid w:val="007E4DA2"/>
    <w:rsid w:val="007E4FC8"/>
    <w:rsid w:val="007E4FCA"/>
    <w:rsid w:val="007E5B71"/>
    <w:rsid w:val="007E6675"/>
    <w:rsid w:val="007E6990"/>
    <w:rsid w:val="007E6ABC"/>
    <w:rsid w:val="007E6E04"/>
    <w:rsid w:val="007E6E13"/>
    <w:rsid w:val="007E762D"/>
    <w:rsid w:val="007E77A4"/>
    <w:rsid w:val="007E7A88"/>
    <w:rsid w:val="007F05BF"/>
    <w:rsid w:val="007F0BDF"/>
    <w:rsid w:val="007F0D32"/>
    <w:rsid w:val="007F123F"/>
    <w:rsid w:val="007F1504"/>
    <w:rsid w:val="007F1EDE"/>
    <w:rsid w:val="007F22C0"/>
    <w:rsid w:val="007F24DA"/>
    <w:rsid w:val="007F251E"/>
    <w:rsid w:val="007F2917"/>
    <w:rsid w:val="007F2CEC"/>
    <w:rsid w:val="007F33E8"/>
    <w:rsid w:val="007F41FB"/>
    <w:rsid w:val="007F4A5B"/>
    <w:rsid w:val="007F5927"/>
    <w:rsid w:val="007F5BA3"/>
    <w:rsid w:val="007F62BC"/>
    <w:rsid w:val="007F662A"/>
    <w:rsid w:val="007F7991"/>
    <w:rsid w:val="007F7EDF"/>
    <w:rsid w:val="008003D0"/>
    <w:rsid w:val="00800454"/>
    <w:rsid w:val="0080068C"/>
    <w:rsid w:val="00800C77"/>
    <w:rsid w:val="008011E1"/>
    <w:rsid w:val="008013F4"/>
    <w:rsid w:val="008015B9"/>
    <w:rsid w:val="0080213F"/>
    <w:rsid w:val="0080218D"/>
    <w:rsid w:val="008027CB"/>
    <w:rsid w:val="00802BAC"/>
    <w:rsid w:val="00802E4A"/>
    <w:rsid w:val="00804486"/>
    <w:rsid w:val="00804551"/>
    <w:rsid w:val="00804773"/>
    <w:rsid w:val="0080485A"/>
    <w:rsid w:val="00804937"/>
    <w:rsid w:val="00805723"/>
    <w:rsid w:val="00806692"/>
    <w:rsid w:val="0080669A"/>
    <w:rsid w:val="00806BAC"/>
    <w:rsid w:val="00806C84"/>
    <w:rsid w:val="00806F06"/>
    <w:rsid w:val="00806F32"/>
    <w:rsid w:val="008077BD"/>
    <w:rsid w:val="00807A2C"/>
    <w:rsid w:val="00807A33"/>
    <w:rsid w:val="00810061"/>
    <w:rsid w:val="008105A8"/>
    <w:rsid w:val="00811366"/>
    <w:rsid w:val="00812A9F"/>
    <w:rsid w:val="00813476"/>
    <w:rsid w:val="0081482E"/>
    <w:rsid w:val="00814BCC"/>
    <w:rsid w:val="00815819"/>
    <w:rsid w:val="00816673"/>
    <w:rsid w:val="00816BA2"/>
    <w:rsid w:val="0081793F"/>
    <w:rsid w:val="00817985"/>
    <w:rsid w:val="00820304"/>
    <w:rsid w:val="00821225"/>
    <w:rsid w:val="008219B8"/>
    <w:rsid w:val="00821B9E"/>
    <w:rsid w:val="00821DE9"/>
    <w:rsid w:val="00823747"/>
    <w:rsid w:val="00823958"/>
    <w:rsid w:val="00823EA7"/>
    <w:rsid w:val="0082416B"/>
    <w:rsid w:val="008244BF"/>
    <w:rsid w:val="00824711"/>
    <w:rsid w:val="00824DB1"/>
    <w:rsid w:val="00825250"/>
    <w:rsid w:val="0082573A"/>
    <w:rsid w:val="00825A7D"/>
    <w:rsid w:val="0082686E"/>
    <w:rsid w:val="00826E1C"/>
    <w:rsid w:val="00826F1D"/>
    <w:rsid w:val="00827443"/>
    <w:rsid w:val="008279C6"/>
    <w:rsid w:val="00827ADE"/>
    <w:rsid w:val="00827B1D"/>
    <w:rsid w:val="00830D72"/>
    <w:rsid w:val="00831044"/>
    <w:rsid w:val="008310D1"/>
    <w:rsid w:val="00832B49"/>
    <w:rsid w:val="00832C4D"/>
    <w:rsid w:val="00832D9C"/>
    <w:rsid w:val="00832F8B"/>
    <w:rsid w:val="008338AF"/>
    <w:rsid w:val="0083433F"/>
    <w:rsid w:val="008349F7"/>
    <w:rsid w:val="00834FB1"/>
    <w:rsid w:val="00835FA7"/>
    <w:rsid w:val="00836FC2"/>
    <w:rsid w:val="008376D6"/>
    <w:rsid w:val="0083799E"/>
    <w:rsid w:val="00840D34"/>
    <w:rsid w:val="00841576"/>
    <w:rsid w:val="00841D95"/>
    <w:rsid w:val="0084253E"/>
    <w:rsid w:val="00842A37"/>
    <w:rsid w:val="00842DA1"/>
    <w:rsid w:val="00844555"/>
    <w:rsid w:val="008447DF"/>
    <w:rsid w:val="008449A7"/>
    <w:rsid w:val="00844C00"/>
    <w:rsid w:val="00844D4C"/>
    <w:rsid w:val="00844DED"/>
    <w:rsid w:val="00845606"/>
    <w:rsid w:val="0084562C"/>
    <w:rsid w:val="00845B78"/>
    <w:rsid w:val="00845D80"/>
    <w:rsid w:val="00846A04"/>
    <w:rsid w:val="00846E78"/>
    <w:rsid w:val="0084739C"/>
    <w:rsid w:val="008506F8"/>
    <w:rsid w:val="00850ACB"/>
    <w:rsid w:val="00851967"/>
    <w:rsid w:val="0085254F"/>
    <w:rsid w:val="00853573"/>
    <w:rsid w:val="0085364B"/>
    <w:rsid w:val="00853974"/>
    <w:rsid w:val="00853CC3"/>
    <w:rsid w:val="0085413B"/>
    <w:rsid w:val="008542B3"/>
    <w:rsid w:val="00854C7F"/>
    <w:rsid w:val="00855125"/>
    <w:rsid w:val="00855BFD"/>
    <w:rsid w:val="008560BA"/>
    <w:rsid w:val="0085611B"/>
    <w:rsid w:val="008561D4"/>
    <w:rsid w:val="00856FB6"/>
    <w:rsid w:val="00857E26"/>
    <w:rsid w:val="00860627"/>
    <w:rsid w:val="00860EDF"/>
    <w:rsid w:val="00861174"/>
    <w:rsid w:val="0086153C"/>
    <w:rsid w:val="0086165F"/>
    <w:rsid w:val="008619E8"/>
    <w:rsid w:val="008624F1"/>
    <w:rsid w:val="00862793"/>
    <w:rsid w:val="008627EE"/>
    <w:rsid w:val="00862C7C"/>
    <w:rsid w:val="00862EC3"/>
    <w:rsid w:val="00863B28"/>
    <w:rsid w:val="00863CA9"/>
    <w:rsid w:val="008643BD"/>
    <w:rsid w:val="00864434"/>
    <w:rsid w:val="00864563"/>
    <w:rsid w:val="00865182"/>
    <w:rsid w:val="008659F6"/>
    <w:rsid w:val="00866C17"/>
    <w:rsid w:val="00866F83"/>
    <w:rsid w:val="00867412"/>
    <w:rsid w:val="008675E7"/>
    <w:rsid w:val="0087011F"/>
    <w:rsid w:val="0087067F"/>
    <w:rsid w:val="00871529"/>
    <w:rsid w:val="008716A3"/>
    <w:rsid w:val="008716CF"/>
    <w:rsid w:val="00871779"/>
    <w:rsid w:val="00871E7A"/>
    <w:rsid w:val="0087215B"/>
    <w:rsid w:val="0087260B"/>
    <w:rsid w:val="00872641"/>
    <w:rsid w:val="00872DFE"/>
    <w:rsid w:val="00874093"/>
    <w:rsid w:val="00875993"/>
    <w:rsid w:val="00875A18"/>
    <w:rsid w:val="0087616B"/>
    <w:rsid w:val="008769BB"/>
    <w:rsid w:val="00876FA9"/>
    <w:rsid w:val="00877186"/>
    <w:rsid w:val="00877332"/>
    <w:rsid w:val="00877449"/>
    <w:rsid w:val="00877562"/>
    <w:rsid w:val="00877601"/>
    <w:rsid w:val="00877CF7"/>
    <w:rsid w:val="008800C8"/>
    <w:rsid w:val="00880B14"/>
    <w:rsid w:val="00880FBF"/>
    <w:rsid w:val="008812EE"/>
    <w:rsid w:val="0088170F"/>
    <w:rsid w:val="00881D4F"/>
    <w:rsid w:val="00882324"/>
    <w:rsid w:val="00882677"/>
    <w:rsid w:val="00882E73"/>
    <w:rsid w:val="00882EF8"/>
    <w:rsid w:val="0088325F"/>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87C74"/>
    <w:rsid w:val="00891593"/>
    <w:rsid w:val="00891769"/>
    <w:rsid w:val="00891DAC"/>
    <w:rsid w:val="008925AD"/>
    <w:rsid w:val="0089368C"/>
    <w:rsid w:val="008937E5"/>
    <w:rsid w:val="00893A53"/>
    <w:rsid w:val="00893D17"/>
    <w:rsid w:val="0089447E"/>
    <w:rsid w:val="00894D0B"/>
    <w:rsid w:val="0089563F"/>
    <w:rsid w:val="00895DFC"/>
    <w:rsid w:val="008963DF"/>
    <w:rsid w:val="0089728B"/>
    <w:rsid w:val="0089759A"/>
    <w:rsid w:val="00897CA1"/>
    <w:rsid w:val="008A038D"/>
    <w:rsid w:val="008A0925"/>
    <w:rsid w:val="008A100F"/>
    <w:rsid w:val="008A1356"/>
    <w:rsid w:val="008A1D9B"/>
    <w:rsid w:val="008A1F1B"/>
    <w:rsid w:val="008A21F4"/>
    <w:rsid w:val="008A22CF"/>
    <w:rsid w:val="008A2507"/>
    <w:rsid w:val="008A288F"/>
    <w:rsid w:val="008A29FF"/>
    <w:rsid w:val="008A3309"/>
    <w:rsid w:val="008A33BD"/>
    <w:rsid w:val="008A33D8"/>
    <w:rsid w:val="008A353C"/>
    <w:rsid w:val="008A3C5C"/>
    <w:rsid w:val="008A3F98"/>
    <w:rsid w:val="008A4449"/>
    <w:rsid w:val="008A461F"/>
    <w:rsid w:val="008A4B12"/>
    <w:rsid w:val="008A51DA"/>
    <w:rsid w:val="008A56BE"/>
    <w:rsid w:val="008A5A12"/>
    <w:rsid w:val="008A5A79"/>
    <w:rsid w:val="008A5FC0"/>
    <w:rsid w:val="008A66DB"/>
    <w:rsid w:val="008A67A8"/>
    <w:rsid w:val="008A6A24"/>
    <w:rsid w:val="008A6CAF"/>
    <w:rsid w:val="008A6F0E"/>
    <w:rsid w:val="008A6F80"/>
    <w:rsid w:val="008A720B"/>
    <w:rsid w:val="008A7398"/>
    <w:rsid w:val="008A74F3"/>
    <w:rsid w:val="008A7BB6"/>
    <w:rsid w:val="008B0103"/>
    <w:rsid w:val="008B0279"/>
    <w:rsid w:val="008B0549"/>
    <w:rsid w:val="008B190B"/>
    <w:rsid w:val="008B3D1E"/>
    <w:rsid w:val="008B3E00"/>
    <w:rsid w:val="008B3FC7"/>
    <w:rsid w:val="008B40C7"/>
    <w:rsid w:val="008B4865"/>
    <w:rsid w:val="008B4A0B"/>
    <w:rsid w:val="008B4C12"/>
    <w:rsid w:val="008B563C"/>
    <w:rsid w:val="008B5897"/>
    <w:rsid w:val="008B5CFE"/>
    <w:rsid w:val="008B637D"/>
    <w:rsid w:val="008B6A97"/>
    <w:rsid w:val="008B6FF5"/>
    <w:rsid w:val="008B71B9"/>
    <w:rsid w:val="008B75B4"/>
    <w:rsid w:val="008C0ACB"/>
    <w:rsid w:val="008C0E69"/>
    <w:rsid w:val="008C0FF1"/>
    <w:rsid w:val="008C0FF5"/>
    <w:rsid w:val="008C143B"/>
    <w:rsid w:val="008C1FA1"/>
    <w:rsid w:val="008C1FB4"/>
    <w:rsid w:val="008C23E3"/>
    <w:rsid w:val="008C2810"/>
    <w:rsid w:val="008C2956"/>
    <w:rsid w:val="008C2AE3"/>
    <w:rsid w:val="008C2E00"/>
    <w:rsid w:val="008C3093"/>
    <w:rsid w:val="008C3181"/>
    <w:rsid w:val="008C4272"/>
    <w:rsid w:val="008C46D8"/>
    <w:rsid w:val="008C4C8D"/>
    <w:rsid w:val="008C4D72"/>
    <w:rsid w:val="008C52EE"/>
    <w:rsid w:val="008C5515"/>
    <w:rsid w:val="008C59FC"/>
    <w:rsid w:val="008C5CCF"/>
    <w:rsid w:val="008C5F49"/>
    <w:rsid w:val="008C601E"/>
    <w:rsid w:val="008C6048"/>
    <w:rsid w:val="008C6A5E"/>
    <w:rsid w:val="008C6BBE"/>
    <w:rsid w:val="008C6CEB"/>
    <w:rsid w:val="008C6E95"/>
    <w:rsid w:val="008C7460"/>
    <w:rsid w:val="008C7774"/>
    <w:rsid w:val="008C7899"/>
    <w:rsid w:val="008C7FBE"/>
    <w:rsid w:val="008D18C1"/>
    <w:rsid w:val="008D1917"/>
    <w:rsid w:val="008D19B4"/>
    <w:rsid w:val="008D25D5"/>
    <w:rsid w:val="008D2EFC"/>
    <w:rsid w:val="008D378F"/>
    <w:rsid w:val="008D5204"/>
    <w:rsid w:val="008D5F3D"/>
    <w:rsid w:val="008D6B54"/>
    <w:rsid w:val="008D6E67"/>
    <w:rsid w:val="008D7A6E"/>
    <w:rsid w:val="008D7D18"/>
    <w:rsid w:val="008E07F4"/>
    <w:rsid w:val="008E0983"/>
    <w:rsid w:val="008E1F05"/>
    <w:rsid w:val="008E20F0"/>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2CAF"/>
    <w:rsid w:val="00903117"/>
    <w:rsid w:val="00903476"/>
    <w:rsid w:val="00903F38"/>
    <w:rsid w:val="00904027"/>
    <w:rsid w:val="0090442C"/>
    <w:rsid w:val="00905D7F"/>
    <w:rsid w:val="00906088"/>
    <w:rsid w:val="009069F8"/>
    <w:rsid w:val="00906A91"/>
    <w:rsid w:val="00906FDA"/>
    <w:rsid w:val="0091016E"/>
    <w:rsid w:val="00910631"/>
    <w:rsid w:val="00911941"/>
    <w:rsid w:val="009119DC"/>
    <w:rsid w:val="009123BA"/>
    <w:rsid w:val="00912911"/>
    <w:rsid w:val="009137BC"/>
    <w:rsid w:val="0091399E"/>
    <w:rsid w:val="00913C33"/>
    <w:rsid w:val="00914AA5"/>
    <w:rsid w:val="00915245"/>
    <w:rsid w:val="009158A8"/>
    <w:rsid w:val="009160ED"/>
    <w:rsid w:val="00916FD5"/>
    <w:rsid w:val="00917581"/>
    <w:rsid w:val="00917A41"/>
    <w:rsid w:val="00917AF4"/>
    <w:rsid w:val="009207C2"/>
    <w:rsid w:val="0092218F"/>
    <w:rsid w:val="00922A33"/>
    <w:rsid w:val="00922C75"/>
    <w:rsid w:val="00923669"/>
    <w:rsid w:val="00924167"/>
    <w:rsid w:val="00924A90"/>
    <w:rsid w:val="009253F3"/>
    <w:rsid w:val="009262E4"/>
    <w:rsid w:val="00930026"/>
    <w:rsid w:val="00930098"/>
    <w:rsid w:val="009301E5"/>
    <w:rsid w:val="0093061F"/>
    <w:rsid w:val="00930E4F"/>
    <w:rsid w:val="00931927"/>
    <w:rsid w:val="009327E3"/>
    <w:rsid w:val="009327F6"/>
    <w:rsid w:val="00932B95"/>
    <w:rsid w:val="00932C98"/>
    <w:rsid w:val="009331D6"/>
    <w:rsid w:val="009339A2"/>
    <w:rsid w:val="0093433B"/>
    <w:rsid w:val="009352D1"/>
    <w:rsid w:val="0093592C"/>
    <w:rsid w:val="0093598A"/>
    <w:rsid w:val="00935AFC"/>
    <w:rsid w:val="00936514"/>
    <w:rsid w:val="00936ACB"/>
    <w:rsid w:val="00936B41"/>
    <w:rsid w:val="009370DE"/>
    <w:rsid w:val="00940241"/>
    <w:rsid w:val="009404F2"/>
    <w:rsid w:val="00940712"/>
    <w:rsid w:val="00940873"/>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B1A"/>
    <w:rsid w:val="009512B4"/>
    <w:rsid w:val="00951584"/>
    <w:rsid w:val="009518A5"/>
    <w:rsid w:val="009529CD"/>
    <w:rsid w:val="00953116"/>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57D64"/>
    <w:rsid w:val="00961564"/>
    <w:rsid w:val="009617A2"/>
    <w:rsid w:val="00961C18"/>
    <w:rsid w:val="00961D39"/>
    <w:rsid w:val="00962661"/>
    <w:rsid w:val="0096268A"/>
    <w:rsid w:val="00962CF6"/>
    <w:rsid w:val="00962D15"/>
    <w:rsid w:val="009631D3"/>
    <w:rsid w:val="0096350B"/>
    <w:rsid w:val="00963839"/>
    <w:rsid w:val="00963B95"/>
    <w:rsid w:val="009648B4"/>
    <w:rsid w:val="00964CFB"/>
    <w:rsid w:val="00964D6C"/>
    <w:rsid w:val="00964FAC"/>
    <w:rsid w:val="009652C3"/>
    <w:rsid w:val="00965451"/>
    <w:rsid w:val="00965463"/>
    <w:rsid w:val="009655DE"/>
    <w:rsid w:val="009658A3"/>
    <w:rsid w:val="00965F16"/>
    <w:rsid w:val="00966BD8"/>
    <w:rsid w:val="00967384"/>
    <w:rsid w:val="009674F5"/>
    <w:rsid w:val="00967DEB"/>
    <w:rsid w:val="00971B3F"/>
    <w:rsid w:val="00971DE1"/>
    <w:rsid w:val="00972462"/>
    <w:rsid w:val="00973160"/>
    <w:rsid w:val="00973A73"/>
    <w:rsid w:val="00973BD9"/>
    <w:rsid w:val="009756C1"/>
    <w:rsid w:val="00975936"/>
    <w:rsid w:val="00975B3A"/>
    <w:rsid w:val="00975BEF"/>
    <w:rsid w:val="00975E2C"/>
    <w:rsid w:val="00976BE5"/>
    <w:rsid w:val="00976DAF"/>
    <w:rsid w:val="00977045"/>
    <w:rsid w:val="0097714A"/>
    <w:rsid w:val="0097733C"/>
    <w:rsid w:val="00980251"/>
    <w:rsid w:val="0098097D"/>
    <w:rsid w:val="0098135C"/>
    <w:rsid w:val="00981527"/>
    <w:rsid w:val="009815C6"/>
    <w:rsid w:val="009816AA"/>
    <w:rsid w:val="00981A31"/>
    <w:rsid w:val="009828DA"/>
    <w:rsid w:val="009837CB"/>
    <w:rsid w:val="00983D1F"/>
    <w:rsid w:val="00983F46"/>
    <w:rsid w:val="009848D9"/>
    <w:rsid w:val="00985622"/>
    <w:rsid w:val="0098584F"/>
    <w:rsid w:val="00985A74"/>
    <w:rsid w:val="00985B07"/>
    <w:rsid w:val="00985F0A"/>
    <w:rsid w:val="00986370"/>
    <w:rsid w:val="00986634"/>
    <w:rsid w:val="009869BF"/>
    <w:rsid w:val="00986DE6"/>
    <w:rsid w:val="009872B9"/>
    <w:rsid w:val="009877C4"/>
    <w:rsid w:val="00990081"/>
    <w:rsid w:val="0099043A"/>
    <w:rsid w:val="0099115F"/>
    <w:rsid w:val="0099169E"/>
    <w:rsid w:val="009916A5"/>
    <w:rsid w:val="009919FE"/>
    <w:rsid w:val="009927D6"/>
    <w:rsid w:val="00992D54"/>
    <w:rsid w:val="0099350A"/>
    <w:rsid w:val="00994020"/>
    <w:rsid w:val="009944F9"/>
    <w:rsid w:val="0099452B"/>
    <w:rsid w:val="009947C6"/>
    <w:rsid w:val="00994EE2"/>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421"/>
    <w:rsid w:val="009A26E4"/>
    <w:rsid w:val="009A27B0"/>
    <w:rsid w:val="009A3C26"/>
    <w:rsid w:val="009A4671"/>
    <w:rsid w:val="009A4CEB"/>
    <w:rsid w:val="009A51F5"/>
    <w:rsid w:val="009A570C"/>
    <w:rsid w:val="009A5DE3"/>
    <w:rsid w:val="009A6333"/>
    <w:rsid w:val="009A69AB"/>
    <w:rsid w:val="009A6EB3"/>
    <w:rsid w:val="009A73AB"/>
    <w:rsid w:val="009A767E"/>
    <w:rsid w:val="009A79B4"/>
    <w:rsid w:val="009B01F8"/>
    <w:rsid w:val="009B0264"/>
    <w:rsid w:val="009B043B"/>
    <w:rsid w:val="009B076C"/>
    <w:rsid w:val="009B140E"/>
    <w:rsid w:val="009B1421"/>
    <w:rsid w:val="009B1768"/>
    <w:rsid w:val="009B177E"/>
    <w:rsid w:val="009B1DFF"/>
    <w:rsid w:val="009B2031"/>
    <w:rsid w:val="009B212A"/>
    <w:rsid w:val="009B2560"/>
    <w:rsid w:val="009B2F3C"/>
    <w:rsid w:val="009B2FF4"/>
    <w:rsid w:val="009B3457"/>
    <w:rsid w:val="009B39CE"/>
    <w:rsid w:val="009B53B5"/>
    <w:rsid w:val="009B54DA"/>
    <w:rsid w:val="009B57BD"/>
    <w:rsid w:val="009B5852"/>
    <w:rsid w:val="009B6A61"/>
    <w:rsid w:val="009B6E83"/>
    <w:rsid w:val="009B6F45"/>
    <w:rsid w:val="009B7332"/>
    <w:rsid w:val="009B7340"/>
    <w:rsid w:val="009B792A"/>
    <w:rsid w:val="009B7963"/>
    <w:rsid w:val="009B7A68"/>
    <w:rsid w:val="009B7B50"/>
    <w:rsid w:val="009B7B7F"/>
    <w:rsid w:val="009C0342"/>
    <w:rsid w:val="009C08A1"/>
    <w:rsid w:val="009C0909"/>
    <w:rsid w:val="009C0A6C"/>
    <w:rsid w:val="009C0C65"/>
    <w:rsid w:val="009C15C5"/>
    <w:rsid w:val="009C1728"/>
    <w:rsid w:val="009C1920"/>
    <w:rsid w:val="009C30D5"/>
    <w:rsid w:val="009C3259"/>
    <w:rsid w:val="009C3D61"/>
    <w:rsid w:val="009C4066"/>
    <w:rsid w:val="009C4092"/>
    <w:rsid w:val="009C4497"/>
    <w:rsid w:val="009C4753"/>
    <w:rsid w:val="009C4BF2"/>
    <w:rsid w:val="009C5768"/>
    <w:rsid w:val="009C5BFA"/>
    <w:rsid w:val="009C74D3"/>
    <w:rsid w:val="009C75A4"/>
    <w:rsid w:val="009C79ED"/>
    <w:rsid w:val="009C7A8B"/>
    <w:rsid w:val="009D01E1"/>
    <w:rsid w:val="009D2617"/>
    <w:rsid w:val="009D2A7B"/>
    <w:rsid w:val="009D3257"/>
    <w:rsid w:val="009D32D1"/>
    <w:rsid w:val="009D3BF8"/>
    <w:rsid w:val="009D408D"/>
    <w:rsid w:val="009D4AFA"/>
    <w:rsid w:val="009D4BE0"/>
    <w:rsid w:val="009D5DF7"/>
    <w:rsid w:val="009D60B5"/>
    <w:rsid w:val="009D60C9"/>
    <w:rsid w:val="009D622A"/>
    <w:rsid w:val="009D6545"/>
    <w:rsid w:val="009D6A53"/>
    <w:rsid w:val="009D6BBA"/>
    <w:rsid w:val="009D6BCA"/>
    <w:rsid w:val="009D6CE9"/>
    <w:rsid w:val="009D74A5"/>
    <w:rsid w:val="009D76C2"/>
    <w:rsid w:val="009D78A6"/>
    <w:rsid w:val="009D7EFE"/>
    <w:rsid w:val="009E0E73"/>
    <w:rsid w:val="009E1197"/>
    <w:rsid w:val="009E137E"/>
    <w:rsid w:val="009E1AB9"/>
    <w:rsid w:val="009E1D53"/>
    <w:rsid w:val="009E26D6"/>
    <w:rsid w:val="009E26F4"/>
    <w:rsid w:val="009E3C41"/>
    <w:rsid w:val="009E4BC8"/>
    <w:rsid w:val="009E4CE3"/>
    <w:rsid w:val="009E4D29"/>
    <w:rsid w:val="009E504A"/>
    <w:rsid w:val="009E52C9"/>
    <w:rsid w:val="009E588B"/>
    <w:rsid w:val="009E6AA9"/>
    <w:rsid w:val="009E6ED8"/>
    <w:rsid w:val="009E7F4E"/>
    <w:rsid w:val="009F0D3D"/>
    <w:rsid w:val="009F1D39"/>
    <w:rsid w:val="009F3234"/>
    <w:rsid w:val="009F34EB"/>
    <w:rsid w:val="009F35D2"/>
    <w:rsid w:val="009F3888"/>
    <w:rsid w:val="009F3A71"/>
    <w:rsid w:val="009F3E12"/>
    <w:rsid w:val="009F4799"/>
    <w:rsid w:val="009F4924"/>
    <w:rsid w:val="009F4E12"/>
    <w:rsid w:val="009F552A"/>
    <w:rsid w:val="009F5B91"/>
    <w:rsid w:val="009F5C3E"/>
    <w:rsid w:val="009F642F"/>
    <w:rsid w:val="009F6D40"/>
    <w:rsid w:val="009F7044"/>
    <w:rsid w:val="009F753A"/>
    <w:rsid w:val="009F7EDA"/>
    <w:rsid w:val="00A00241"/>
    <w:rsid w:val="00A01700"/>
    <w:rsid w:val="00A01806"/>
    <w:rsid w:val="00A02BC4"/>
    <w:rsid w:val="00A036F9"/>
    <w:rsid w:val="00A03F54"/>
    <w:rsid w:val="00A04326"/>
    <w:rsid w:val="00A04422"/>
    <w:rsid w:val="00A044D6"/>
    <w:rsid w:val="00A04AD8"/>
    <w:rsid w:val="00A0599A"/>
    <w:rsid w:val="00A05D36"/>
    <w:rsid w:val="00A06008"/>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39B"/>
    <w:rsid w:val="00A234FC"/>
    <w:rsid w:val="00A23901"/>
    <w:rsid w:val="00A239F3"/>
    <w:rsid w:val="00A23A31"/>
    <w:rsid w:val="00A24624"/>
    <w:rsid w:val="00A25125"/>
    <w:rsid w:val="00A25188"/>
    <w:rsid w:val="00A256BE"/>
    <w:rsid w:val="00A27534"/>
    <w:rsid w:val="00A305AE"/>
    <w:rsid w:val="00A31703"/>
    <w:rsid w:val="00A31F02"/>
    <w:rsid w:val="00A31F90"/>
    <w:rsid w:val="00A31FFD"/>
    <w:rsid w:val="00A32B7E"/>
    <w:rsid w:val="00A32F43"/>
    <w:rsid w:val="00A34F17"/>
    <w:rsid w:val="00A354EA"/>
    <w:rsid w:val="00A35826"/>
    <w:rsid w:val="00A35C0E"/>
    <w:rsid w:val="00A3619E"/>
    <w:rsid w:val="00A3688D"/>
    <w:rsid w:val="00A40CEF"/>
    <w:rsid w:val="00A4184B"/>
    <w:rsid w:val="00A429C3"/>
    <w:rsid w:val="00A42A23"/>
    <w:rsid w:val="00A43236"/>
    <w:rsid w:val="00A437D4"/>
    <w:rsid w:val="00A43E65"/>
    <w:rsid w:val="00A44463"/>
    <w:rsid w:val="00A44928"/>
    <w:rsid w:val="00A45B2C"/>
    <w:rsid w:val="00A46040"/>
    <w:rsid w:val="00A46650"/>
    <w:rsid w:val="00A46A16"/>
    <w:rsid w:val="00A46A8C"/>
    <w:rsid w:val="00A46CDE"/>
    <w:rsid w:val="00A50887"/>
    <w:rsid w:val="00A50B2E"/>
    <w:rsid w:val="00A522AF"/>
    <w:rsid w:val="00A523F3"/>
    <w:rsid w:val="00A524C8"/>
    <w:rsid w:val="00A526F2"/>
    <w:rsid w:val="00A527AD"/>
    <w:rsid w:val="00A52BCE"/>
    <w:rsid w:val="00A52E9D"/>
    <w:rsid w:val="00A52F78"/>
    <w:rsid w:val="00A53090"/>
    <w:rsid w:val="00A53164"/>
    <w:rsid w:val="00A5370F"/>
    <w:rsid w:val="00A54238"/>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5E9"/>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50B"/>
    <w:rsid w:val="00A70A32"/>
    <w:rsid w:val="00A71BDD"/>
    <w:rsid w:val="00A71C3A"/>
    <w:rsid w:val="00A71CCB"/>
    <w:rsid w:val="00A71D15"/>
    <w:rsid w:val="00A72022"/>
    <w:rsid w:val="00A72636"/>
    <w:rsid w:val="00A72787"/>
    <w:rsid w:val="00A727E3"/>
    <w:rsid w:val="00A72A5D"/>
    <w:rsid w:val="00A72D9D"/>
    <w:rsid w:val="00A734B7"/>
    <w:rsid w:val="00A744C3"/>
    <w:rsid w:val="00A74955"/>
    <w:rsid w:val="00A74F66"/>
    <w:rsid w:val="00A753EA"/>
    <w:rsid w:val="00A757E7"/>
    <w:rsid w:val="00A7583A"/>
    <w:rsid w:val="00A758FE"/>
    <w:rsid w:val="00A7592E"/>
    <w:rsid w:val="00A759BF"/>
    <w:rsid w:val="00A77772"/>
    <w:rsid w:val="00A777E2"/>
    <w:rsid w:val="00A80877"/>
    <w:rsid w:val="00A80971"/>
    <w:rsid w:val="00A80B4C"/>
    <w:rsid w:val="00A80F42"/>
    <w:rsid w:val="00A812EB"/>
    <w:rsid w:val="00A815C3"/>
    <w:rsid w:val="00A818A2"/>
    <w:rsid w:val="00A8197E"/>
    <w:rsid w:val="00A81BE7"/>
    <w:rsid w:val="00A8219B"/>
    <w:rsid w:val="00A82869"/>
    <w:rsid w:val="00A8317B"/>
    <w:rsid w:val="00A83413"/>
    <w:rsid w:val="00A83BC6"/>
    <w:rsid w:val="00A84316"/>
    <w:rsid w:val="00A84E36"/>
    <w:rsid w:val="00A85D7B"/>
    <w:rsid w:val="00A864B0"/>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804"/>
    <w:rsid w:val="00A94B65"/>
    <w:rsid w:val="00A94DD8"/>
    <w:rsid w:val="00A959F4"/>
    <w:rsid w:val="00A96AC4"/>
    <w:rsid w:val="00A9781E"/>
    <w:rsid w:val="00A97B1A"/>
    <w:rsid w:val="00A97E3E"/>
    <w:rsid w:val="00AA089D"/>
    <w:rsid w:val="00AA0DF9"/>
    <w:rsid w:val="00AA0F94"/>
    <w:rsid w:val="00AA0FEE"/>
    <w:rsid w:val="00AA178C"/>
    <w:rsid w:val="00AA20C4"/>
    <w:rsid w:val="00AA2205"/>
    <w:rsid w:val="00AA2496"/>
    <w:rsid w:val="00AA26EF"/>
    <w:rsid w:val="00AA27FA"/>
    <w:rsid w:val="00AA3332"/>
    <w:rsid w:val="00AA33C5"/>
    <w:rsid w:val="00AA3690"/>
    <w:rsid w:val="00AA4167"/>
    <w:rsid w:val="00AA4848"/>
    <w:rsid w:val="00AA4866"/>
    <w:rsid w:val="00AA53DD"/>
    <w:rsid w:val="00AA5CC6"/>
    <w:rsid w:val="00AA5FF3"/>
    <w:rsid w:val="00AA690C"/>
    <w:rsid w:val="00AA710F"/>
    <w:rsid w:val="00AA74F5"/>
    <w:rsid w:val="00AA7650"/>
    <w:rsid w:val="00AB0CE8"/>
    <w:rsid w:val="00AB144D"/>
    <w:rsid w:val="00AB14FD"/>
    <w:rsid w:val="00AB158E"/>
    <w:rsid w:val="00AB1AC0"/>
    <w:rsid w:val="00AB1C2A"/>
    <w:rsid w:val="00AB1C8B"/>
    <w:rsid w:val="00AB1E8B"/>
    <w:rsid w:val="00AB21A2"/>
    <w:rsid w:val="00AB26ED"/>
    <w:rsid w:val="00AB2722"/>
    <w:rsid w:val="00AB283B"/>
    <w:rsid w:val="00AB2E2D"/>
    <w:rsid w:val="00AB35FC"/>
    <w:rsid w:val="00AB373B"/>
    <w:rsid w:val="00AB3A65"/>
    <w:rsid w:val="00AB3D5F"/>
    <w:rsid w:val="00AB3D9E"/>
    <w:rsid w:val="00AB41CB"/>
    <w:rsid w:val="00AB4569"/>
    <w:rsid w:val="00AB45ED"/>
    <w:rsid w:val="00AB4662"/>
    <w:rsid w:val="00AB4E1F"/>
    <w:rsid w:val="00AB4E63"/>
    <w:rsid w:val="00AB52F9"/>
    <w:rsid w:val="00AB56E7"/>
    <w:rsid w:val="00AB58B3"/>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C54"/>
    <w:rsid w:val="00AC73EE"/>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61FA"/>
    <w:rsid w:val="00AD7264"/>
    <w:rsid w:val="00AD7460"/>
    <w:rsid w:val="00AD74E2"/>
    <w:rsid w:val="00AD7563"/>
    <w:rsid w:val="00AD7D9C"/>
    <w:rsid w:val="00AE0CEA"/>
    <w:rsid w:val="00AE1069"/>
    <w:rsid w:val="00AE1167"/>
    <w:rsid w:val="00AE2A91"/>
    <w:rsid w:val="00AE335F"/>
    <w:rsid w:val="00AE34B5"/>
    <w:rsid w:val="00AE4776"/>
    <w:rsid w:val="00AE4CEE"/>
    <w:rsid w:val="00AE5068"/>
    <w:rsid w:val="00AE5A01"/>
    <w:rsid w:val="00AE6BAE"/>
    <w:rsid w:val="00AE6BC8"/>
    <w:rsid w:val="00AE6F99"/>
    <w:rsid w:val="00AE715C"/>
    <w:rsid w:val="00AE7282"/>
    <w:rsid w:val="00AE771A"/>
    <w:rsid w:val="00AE7A13"/>
    <w:rsid w:val="00AE7FD4"/>
    <w:rsid w:val="00AF0092"/>
    <w:rsid w:val="00AF0126"/>
    <w:rsid w:val="00AF019F"/>
    <w:rsid w:val="00AF0542"/>
    <w:rsid w:val="00AF0670"/>
    <w:rsid w:val="00AF0A2F"/>
    <w:rsid w:val="00AF0F4C"/>
    <w:rsid w:val="00AF1C12"/>
    <w:rsid w:val="00AF1E9F"/>
    <w:rsid w:val="00AF2460"/>
    <w:rsid w:val="00AF2677"/>
    <w:rsid w:val="00AF3171"/>
    <w:rsid w:val="00AF3A80"/>
    <w:rsid w:val="00AF427C"/>
    <w:rsid w:val="00AF4A26"/>
    <w:rsid w:val="00AF4D45"/>
    <w:rsid w:val="00AF4E4A"/>
    <w:rsid w:val="00AF5C47"/>
    <w:rsid w:val="00AF61D3"/>
    <w:rsid w:val="00AF6626"/>
    <w:rsid w:val="00AF7042"/>
    <w:rsid w:val="00AF74CF"/>
    <w:rsid w:val="00AF76DF"/>
    <w:rsid w:val="00B00C92"/>
    <w:rsid w:val="00B00F17"/>
    <w:rsid w:val="00B014D2"/>
    <w:rsid w:val="00B01DE7"/>
    <w:rsid w:val="00B02302"/>
    <w:rsid w:val="00B02F46"/>
    <w:rsid w:val="00B037F2"/>
    <w:rsid w:val="00B038D8"/>
    <w:rsid w:val="00B04D59"/>
    <w:rsid w:val="00B05086"/>
    <w:rsid w:val="00B06010"/>
    <w:rsid w:val="00B0650D"/>
    <w:rsid w:val="00B06561"/>
    <w:rsid w:val="00B06783"/>
    <w:rsid w:val="00B072D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6E6A"/>
    <w:rsid w:val="00B17366"/>
    <w:rsid w:val="00B17792"/>
    <w:rsid w:val="00B200C7"/>
    <w:rsid w:val="00B204FC"/>
    <w:rsid w:val="00B21023"/>
    <w:rsid w:val="00B21667"/>
    <w:rsid w:val="00B21920"/>
    <w:rsid w:val="00B21AC2"/>
    <w:rsid w:val="00B21FED"/>
    <w:rsid w:val="00B22E7A"/>
    <w:rsid w:val="00B232C5"/>
    <w:rsid w:val="00B24F45"/>
    <w:rsid w:val="00B25123"/>
    <w:rsid w:val="00B252D7"/>
    <w:rsid w:val="00B25659"/>
    <w:rsid w:val="00B2593F"/>
    <w:rsid w:val="00B259A2"/>
    <w:rsid w:val="00B25A03"/>
    <w:rsid w:val="00B25B5A"/>
    <w:rsid w:val="00B25DD8"/>
    <w:rsid w:val="00B26422"/>
    <w:rsid w:val="00B26A74"/>
    <w:rsid w:val="00B26F29"/>
    <w:rsid w:val="00B27084"/>
    <w:rsid w:val="00B27546"/>
    <w:rsid w:val="00B27E2C"/>
    <w:rsid w:val="00B30485"/>
    <w:rsid w:val="00B308F9"/>
    <w:rsid w:val="00B30D50"/>
    <w:rsid w:val="00B3161A"/>
    <w:rsid w:val="00B31B6A"/>
    <w:rsid w:val="00B31BFE"/>
    <w:rsid w:val="00B32E92"/>
    <w:rsid w:val="00B332F5"/>
    <w:rsid w:val="00B3355F"/>
    <w:rsid w:val="00B33BEB"/>
    <w:rsid w:val="00B3451D"/>
    <w:rsid w:val="00B35992"/>
    <w:rsid w:val="00B361A3"/>
    <w:rsid w:val="00B36AB3"/>
    <w:rsid w:val="00B36E05"/>
    <w:rsid w:val="00B36EC5"/>
    <w:rsid w:val="00B378FE"/>
    <w:rsid w:val="00B41139"/>
    <w:rsid w:val="00B41383"/>
    <w:rsid w:val="00B413BD"/>
    <w:rsid w:val="00B41DA2"/>
    <w:rsid w:val="00B42356"/>
    <w:rsid w:val="00B4292F"/>
    <w:rsid w:val="00B42F7F"/>
    <w:rsid w:val="00B43191"/>
    <w:rsid w:val="00B432EF"/>
    <w:rsid w:val="00B43B5C"/>
    <w:rsid w:val="00B44231"/>
    <w:rsid w:val="00B4476A"/>
    <w:rsid w:val="00B44DB1"/>
    <w:rsid w:val="00B462A2"/>
    <w:rsid w:val="00B4680C"/>
    <w:rsid w:val="00B47EE3"/>
    <w:rsid w:val="00B52453"/>
    <w:rsid w:val="00B52C97"/>
    <w:rsid w:val="00B539AB"/>
    <w:rsid w:val="00B544EB"/>
    <w:rsid w:val="00B54688"/>
    <w:rsid w:val="00B5472D"/>
    <w:rsid w:val="00B55B3E"/>
    <w:rsid w:val="00B55C9D"/>
    <w:rsid w:val="00B5657D"/>
    <w:rsid w:val="00B56B74"/>
    <w:rsid w:val="00B57093"/>
    <w:rsid w:val="00B57B8C"/>
    <w:rsid w:val="00B57BCB"/>
    <w:rsid w:val="00B57C1C"/>
    <w:rsid w:val="00B60024"/>
    <w:rsid w:val="00B60C69"/>
    <w:rsid w:val="00B60DBD"/>
    <w:rsid w:val="00B61010"/>
    <w:rsid w:val="00B61306"/>
    <w:rsid w:val="00B61A49"/>
    <w:rsid w:val="00B61EC1"/>
    <w:rsid w:val="00B6266F"/>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26B7"/>
    <w:rsid w:val="00B726BA"/>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DD0"/>
    <w:rsid w:val="00B83C7C"/>
    <w:rsid w:val="00B841B8"/>
    <w:rsid w:val="00B846B6"/>
    <w:rsid w:val="00B85056"/>
    <w:rsid w:val="00B85178"/>
    <w:rsid w:val="00B851D5"/>
    <w:rsid w:val="00B8595E"/>
    <w:rsid w:val="00B86447"/>
    <w:rsid w:val="00B865B4"/>
    <w:rsid w:val="00B86691"/>
    <w:rsid w:val="00B866E3"/>
    <w:rsid w:val="00B86887"/>
    <w:rsid w:val="00B86E80"/>
    <w:rsid w:val="00B870D4"/>
    <w:rsid w:val="00B8742E"/>
    <w:rsid w:val="00B90023"/>
    <w:rsid w:val="00B90483"/>
    <w:rsid w:val="00B90F86"/>
    <w:rsid w:val="00B916FC"/>
    <w:rsid w:val="00B91E2C"/>
    <w:rsid w:val="00B9211D"/>
    <w:rsid w:val="00B92312"/>
    <w:rsid w:val="00B92401"/>
    <w:rsid w:val="00B937C1"/>
    <w:rsid w:val="00B93C3E"/>
    <w:rsid w:val="00B94107"/>
    <w:rsid w:val="00B949B7"/>
    <w:rsid w:val="00B956C7"/>
    <w:rsid w:val="00B957CD"/>
    <w:rsid w:val="00B9597F"/>
    <w:rsid w:val="00B95AB9"/>
    <w:rsid w:val="00B95C71"/>
    <w:rsid w:val="00B96374"/>
    <w:rsid w:val="00B9709C"/>
    <w:rsid w:val="00B97831"/>
    <w:rsid w:val="00B97A8E"/>
    <w:rsid w:val="00BA0BBB"/>
    <w:rsid w:val="00BA0EC7"/>
    <w:rsid w:val="00BA104A"/>
    <w:rsid w:val="00BA1A4B"/>
    <w:rsid w:val="00BA2047"/>
    <w:rsid w:val="00BA2628"/>
    <w:rsid w:val="00BA2BDE"/>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A7663"/>
    <w:rsid w:val="00BB0468"/>
    <w:rsid w:val="00BB08A6"/>
    <w:rsid w:val="00BB0BC9"/>
    <w:rsid w:val="00BB1611"/>
    <w:rsid w:val="00BB176A"/>
    <w:rsid w:val="00BB18CD"/>
    <w:rsid w:val="00BB1EB7"/>
    <w:rsid w:val="00BB2123"/>
    <w:rsid w:val="00BB2BA9"/>
    <w:rsid w:val="00BB2DAC"/>
    <w:rsid w:val="00BB382B"/>
    <w:rsid w:val="00BB3B26"/>
    <w:rsid w:val="00BB41B8"/>
    <w:rsid w:val="00BB4A9F"/>
    <w:rsid w:val="00BB4BF3"/>
    <w:rsid w:val="00BB4F72"/>
    <w:rsid w:val="00BB5DB9"/>
    <w:rsid w:val="00BB653F"/>
    <w:rsid w:val="00BB6C3F"/>
    <w:rsid w:val="00BB7549"/>
    <w:rsid w:val="00BB798E"/>
    <w:rsid w:val="00BB7D06"/>
    <w:rsid w:val="00BC078D"/>
    <w:rsid w:val="00BC0A33"/>
    <w:rsid w:val="00BC1811"/>
    <w:rsid w:val="00BC1AB8"/>
    <w:rsid w:val="00BC28AD"/>
    <w:rsid w:val="00BC2C4A"/>
    <w:rsid w:val="00BC2FAA"/>
    <w:rsid w:val="00BC4002"/>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0E2C"/>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D672B"/>
    <w:rsid w:val="00BD7916"/>
    <w:rsid w:val="00BE0B33"/>
    <w:rsid w:val="00BE0B8B"/>
    <w:rsid w:val="00BE0D34"/>
    <w:rsid w:val="00BE1112"/>
    <w:rsid w:val="00BE119F"/>
    <w:rsid w:val="00BE1251"/>
    <w:rsid w:val="00BE132D"/>
    <w:rsid w:val="00BE1831"/>
    <w:rsid w:val="00BE18FF"/>
    <w:rsid w:val="00BE1A75"/>
    <w:rsid w:val="00BE1B6D"/>
    <w:rsid w:val="00BE204F"/>
    <w:rsid w:val="00BE20AC"/>
    <w:rsid w:val="00BE281F"/>
    <w:rsid w:val="00BE29B4"/>
    <w:rsid w:val="00BE2AB4"/>
    <w:rsid w:val="00BE45AE"/>
    <w:rsid w:val="00BE5411"/>
    <w:rsid w:val="00BE5520"/>
    <w:rsid w:val="00BE5D2F"/>
    <w:rsid w:val="00BE5F21"/>
    <w:rsid w:val="00BE6016"/>
    <w:rsid w:val="00BE6090"/>
    <w:rsid w:val="00BE6628"/>
    <w:rsid w:val="00BE6EA6"/>
    <w:rsid w:val="00BE7129"/>
    <w:rsid w:val="00BE732C"/>
    <w:rsid w:val="00BF0090"/>
    <w:rsid w:val="00BF03D9"/>
    <w:rsid w:val="00BF1D73"/>
    <w:rsid w:val="00BF1E7D"/>
    <w:rsid w:val="00BF21D2"/>
    <w:rsid w:val="00BF2264"/>
    <w:rsid w:val="00BF25A8"/>
    <w:rsid w:val="00BF3085"/>
    <w:rsid w:val="00BF332E"/>
    <w:rsid w:val="00BF362D"/>
    <w:rsid w:val="00BF4511"/>
    <w:rsid w:val="00BF48E0"/>
    <w:rsid w:val="00BF4AC5"/>
    <w:rsid w:val="00BF4BA0"/>
    <w:rsid w:val="00BF55FF"/>
    <w:rsid w:val="00BF57D5"/>
    <w:rsid w:val="00BF5962"/>
    <w:rsid w:val="00BF77A0"/>
    <w:rsid w:val="00BF7FB0"/>
    <w:rsid w:val="00C00251"/>
    <w:rsid w:val="00C004F3"/>
    <w:rsid w:val="00C008B2"/>
    <w:rsid w:val="00C01592"/>
    <w:rsid w:val="00C020C7"/>
    <w:rsid w:val="00C02572"/>
    <w:rsid w:val="00C02651"/>
    <w:rsid w:val="00C02BF2"/>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1A0"/>
    <w:rsid w:val="00C07564"/>
    <w:rsid w:val="00C076F0"/>
    <w:rsid w:val="00C10882"/>
    <w:rsid w:val="00C108B1"/>
    <w:rsid w:val="00C116DB"/>
    <w:rsid w:val="00C11AF5"/>
    <w:rsid w:val="00C11B9A"/>
    <w:rsid w:val="00C11BE9"/>
    <w:rsid w:val="00C11D76"/>
    <w:rsid w:val="00C12070"/>
    <w:rsid w:val="00C122A0"/>
    <w:rsid w:val="00C13716"/>
    <w:rsid w:val="00C137DF"/>
    <w:rsid w:val="00C13916"/>
    <w:rsid w:val="00C13BAE"/>
    <w:rsid w:val="00C13DC3"/>
    <w:rsid w:val="00C160EE"/>
    <w:rsid w:val="00C170E2"/>
    <w:rsid w:val="00C17B87"/>
    <w:rsid w:val="00C17C1A"/>
    <w:rsid w:val="00C20292"/>
    <w:rsid w:val="00C211D2"/>
    <w:rsid w:val="00C2155B"/>
    <w:rsid w:val="00C218B1"/>
    <w:rsid w:val="00C21A0C"/>
    <w:rsid w:val="00C22132"/>
    <w:rsid w:val="00C2227A"/>
    <w:rsid w:val="00C2284E"/>
    <w:rsid w:val="00C23206"/>
    <w:rsid w:val="00C232C1"/>
    <w:rsid w:val="00C233B7"/>
    <w:rsid w:val="00C23583"/>
    <w:rsid w:val="00C24081"/>
    <w:rsid w:val="00C241D3"/>
    <w:rsid w:val="00C24883"/>
    <w:rsid w:val="00C24FAF"/>
    <w:rsid w:val="00C25281"/>
    <w:rsid w:val="00C257AC"/>
    <w:rsid w:val="00C259D6"/>
    <w:rsid w:val="00C25E74"/>
    <w:rsid w:val="00C261AB"/>
    <w:rsid w:val="00C2694F"/>
    <w:rsid w:val="00C277E9"/>
    <w:rsid w:val="00C30306"/>
    <w:rsid w:val="00C303A3"/>
    <w:rsid w:val="00C3059C"/>
    <w:rsid w:val="00C306EF"/>
    <w:rsid w:val="00C30B84"/>
    <w:rsid w:val="00C3105D"/>
    <w:rsid w:val="00C318F1"/>
    <w:rsid w:val="00C3228E"/>
    <w:rsid w:val="00C32978"/>
    <w:rsid w:val="00C32B71"/>
    <w:rsid w:val="00C33F06"/>
    <w:rsid w:val="00C33F6C"/>
    <w:rsid w:val="00C34157"/>
    <w:rsid w:val="00C3447C"/>
    <w:rsid w:val="00C34899"/>
    <w:rsid w:val="00C348CA"/>
    <w:rsid w:val="00C3501A"/>
    <w:rsid w:val="00C36260"/>
    <w:rsid w:val="00C36FA0"/>
    <w:rsid w:val="00C40210"/>
    <w:rsid w:val="00C4107E"/>
    <w:rsid w:val="00C41157"/>
    <w:rsid w:val="00C41340"/>
    <w:rsid w:val="00C4175A"/>
    <w:rsid w:val="00C418E4"/>
    <w:rsid w:val="00C41C4D"/>
    <w:rsid w:val="00C41E38"/>
    <w:rsid w:val="00C427B0"/>
    <w:rsid w:val="00C42829"/>
    <w:rsid w:val="00C429F4"/>
    <w:rsid w:val="00C42C8B"/>
    <w:rsid w:val="00C42D64"/>
    <w:rsid w:val="00C43CC9"/>
    <w:rsid w:val="00C441DF"/>
    <w:rsid w:val="00C445C6"/>
    <w:rsid w:val="00C45374"/>
    <w:rsid w:val="00C453B5"/>
    <w:rsid w:val="00C458FA"/>
    <w:rsid w:val="00C4654C"/>
    <w:rsid w:val="00C46A06"/>
    <w:rsid w:val="00C47933"/>
    <w:rsid w:val="00C479C5"/>
    <w:rsid w:val="00C47E23"/>
    <w:rsid w:val="00C47F88"/>
    <w:rsid w:val="00C502FF"/>
    <w:rsid w:val="00C50E13"/>
    <w:rsid w:val="00C520DC"/>
    <w:rsid w:val="00C526D5"/>
    <w:rsid w:val="00C52BD3"/>
    <w:rsid w:val="00C52EAF"/>
    <w:rsid w:val="00C53035"/>
    <w:rsid w:val="00C535F7"/>
    <w:rsid w:val="00C536B7"/>
    <w:rsid w:val="00C54D22"/>
    <w:rsid w:val="00C54E5D"/>
    <w:rsid w:val="00C55FA6"/>
    <w:rsid w:val="00C5616A"/>
    <w:rsid w:val="00C56264"/>
    <w:rsid w:val="00C565BA"/>
    <w:rsid w:val="00C56BAF"/>
    <w:rsid w:val="00C5747F"/>
    <w:rsid w:val="00C579AB"/>
    <w:rsid w:val="00C57F4D"/>
    <w:rsid w:val="00C60C01"/>
    <w:rsid w:val="00C60C0D"/>
    <w:rsid w:val="00C60E86"/>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5872"/>
    <w:rsid w:val="00C66035"/>
    <w:rsid w:val="00C66109"/>
    <w:rsid w:val="00C66760"/>
    <w:rsid w:val="00C67A81"/>
    <w:rsid w:val="00C704DF"/>
    <w:rsid w:val="00C705F3"/>
    <w:rsid w:val="00C70D62"/>
    <w:rsid w:val="00C70EE4"/>
    <w:rsid w:val="00C71AC3"/>
    <w:rsid w:val="00C71DFE"/>
    <w:rsid w:val="00C71F2F"/>
    <w:rsid w:val="00C72415"/>
    <w:rsid w:val="00C72451"/>
    <w:rsid w:val="00C72ADC"/>
    <w:rsid w:val="00C72EEC"/>
    <w:rsid w:val="00C73E5D"/>
    <w:rsid w:val="00C74266"/>
    <w:rsid w:val="00C74877"/>
    <w:rsid w:val="00C74920"/>
    <w:rsid w:val="00C74B8F"/>
    <w:rsid w:val="00C75E75"/>
    <w:rsid w:val="00C76713"/>
    <w:rsid w:val="00C76F8F"/>
    <w:rsid w:val="00C77953"/>
    <w:rsid w:val="00C802E8"/>
    <w:rsid w:val="00C80781"/>
    <w:rsid w:val="00C8115E"/>
    <w:rsid w:val="00C812A5"/>
    <w:rsid w:val="00C81A97"/>
    <w:rsid w:val="00C8208E"/>
    <w:rsid w:val="00C8214E"/>
    <w:rsid w:val="00C82300"/>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C5E"/>
    <w:rsid w:val="00C90EA7"/>
    <w:rsid w:val="00C92763"/>
    <w:rsid w:val="00C9294D"/>
    <w:rsid w:val="00C92EA7"/>
    <w:rsid w:val="00C93995"/>
    <w:rsid w:val="00C93AB7"/>
    <w:rsid w:val="00C94837"/>
    <w:rsid w:val="00C9520F"/>
    <w:rsid w:val="00C9554A"/>
    <w:rsid w:val="00C95F3E"/>
    <w:rsid w:val="00C95F4C"/>
    <w:rsid w:val="00C96CAB"/>
    <w:rsid w:val="00C970A7"/>
    <w:rsid w:val="00C97F0F"/>
    <w:rsid w:val="00C97F6F"/>
    <w:rsid w:val="00CA09D1"/>
    <w:rsid w:val="00CA0ECB"/>
    <w:rsid w:val="00CA1438"/>
    <w:rsid w:val="00CA18E3"/>
    <w:rsid w:val="00CA246A"/>
    <w:rsid w:val="00CA253A"/>
    <w:rsid w:val="00CA2B7C"/>
    <w:rsid w:val="00CA39B2"/>
    <w:rsid w:val="00CA3CFF"/>
    <w:rsid w:val="00CA3DF0"/>
    <w:rsid w:val="00CA3E5A"/>
    <w:rsid w:val="00CA478D"/>
    <w:rsid w:val="00CA4C18"/>
    <w:rsid w:val="00CA4D13"/>
    <w:rsid w:val="00CA5459"/>
    <w:rsid w:val="00CA5B25"/>
    <w:rsid w:val="00CA6E89"/>
    <w:rsid w:val="00CA7103"/>
    <w:rsid w:val="00CA73D1"/>
    <w:rsid w:val="00CA78B1"/>
    <w:rsid w:val="00CA79E6"/>
    <w:rsid w:val="00CB0367"/>
    <w:rsid w:val="00CB144F"/>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CF7"/>
    <w:rsid w:val="00CB5F65"/>
    <w:rsid w:val="00CB6A14"/>
    <w:rsid w:val="00CB6F0A"/>
    <w:rsid w:val="00CB6F2F"/>
    <w:rsid w:val="00CC04C2"/>
    <w:rsid w:val="00CC0D5D"/>
    <w:rsid w:val="00CC14B5"/>
    <w:rsid w:val="00CC192B"/>
    <w:rsid w:val="00CC1E64"/>
    <w:rsid w:val="00CC3700"/>
    <w:rsid w:val="00CC3CC4"/>
    <w:rsid w:val="00CC4079"/>
    <w:rsid w:val="00CC40B7"/>
    <w:rsid w:val="00CC46E6"/>
    <w:rsid w:val="00CC5080"/>
    <w:rsid w:val="00CC508C"/>
    <w:rsid w:val="00CC52FB"/>
    <w:rsid w:val="00CC55CE"/>
    <w:rsid w:val="00CC6C4C"/>
    <w:rsid w:val="00CC78D1"/>
    <w:rsid w:val="00CD059D"/>
    <w:rsid w:val="00CD05D7"/>
    <w:rsid w:val="00CD05F0"/>
    <w:rsid w:val="00CD0E15"/>
    <w:rsid w:val="00CD1584"/>
    <w:rsid w:val="00CD1804"/>
    <w:rsid w:val="00CD1A9C"/>
    <w:rsid w:val="00CD1E86"/>
    <w:rsid w:val="00CD240C"/>
    <w:rsid w:val="00CD2EF6"/>
    <w:rsid w:val="00CD2FE4"/>
    <w:rsid w:val="00CD346F"/>
    <w:rsid w:val="00CD34CC"/>
    <w:rsid w:val="00CD37BB"/>
    <w:rsid w:val="00CD3A08"/>
    <w:rsid w:val="00CD3A71"/>
    <w:rsid w:val="00CD3EF6"/>
    <w:rsid w:val="00CD43D5"/>
    <w:rsid w:val="00CD47EE"/>
    <w:rsid w:val="00CD4DBD"/>
    <w:rsid w:val="00CD5BD8"/>
    <w:rsid w:val="00CD624A"/>
    <w:rsid w:val="00CD682E"/>
    <w:rsid w:val="00CD79F5"/>
    <w:rsid w:val="00CD7CFB"/>
    <w:rsid w:val="00CE0BEF"/>
    <w:rsid w:val="00CE0F7D"/>
    <w:rsid w:val="00CE122C"/>
    <w:rsid w:val="00CE125D"/>
    <w:rsid w:val="00CE1B34"/>
    <w:rsid w:val="00CE1CC6"/>
    <w:rsid w:val="00CE2B32"/>
    <w:rsid w:val="00CE2EA2"/>
    <w:rsid w:val="00CE3B1D"/>
    <w:rsid w:val="00CE3CF4"/>
    <w:rsid w:val="00CE49C9"/>
    <w:rsid w:val="00CE4F90"/>
    <w:rsid w:val="00CE51BC"/>
    <w:rsid w:val="00CE544D"/>
    <w:rsid w:val="00CE5B6B"/>
    <w:rsid w:val="00CE5E48"/>
    <w:rsid w:val="00CE655C"/>
    <w:rsid w:val="00CE68EE"/>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5FDD"/>
    <w:rsid w:val="00CF6446"/>
    <w:rsid w:val="00CF6552"/>
    <w:rsid w:val="00CF656C"/>
    <w:rsid w:val="00CF7557"/>
    <w:rsid w:val="00D004BD"/>
    <w:rsid w:val="00D0084C"/>
    <w:rsid w:val="00D00872"/>
    <w:rsid w:val="00D00D79"/>
    <w:rsid w:val="00D01035"/>
    <w:rsid w:val="00D0124F"/>
    <w:rsid w:val="00D012AE"/>
    <w:rsid w:val="00D0151A"/>
    <w:rsid w:val="00D01D9B"/>
    <w:rsid w:val="00D02287"/>
    <w:rsid w:val="00D032E0"/>
    <w:rsid w:val="00D03A07"/>
    <w:rsid w:val="00D03CAA"/>
    <w:rsid w:val="00D03F98"/>
    <w:rsid w:val="00D048C4"/>
    <w:rsid w:val="00D04EF7"/>
    <w:rsid w:val="00D0506B"/>
    <w:rsid w:val="00D051CD"/>
    <w:rsid w:val="00D0549D"/>
    <w:rsid w:val="00D059E7"/>
    <w:rsid w:val="00D05A31"/>
    <w:rsid w:val="00D05F72"/>
    <w:rsid w:val="00D06976"/>
    <w:rsid w:val="00D0716B"/>
    <w:rsid w:val="00D077EE"/>
    <w:rsid w:val="00D10258"/>
    <w:rsid w:val="00D105F3"/>
    <w:rsid w:val="00D106C0"/>
    <w:rsid w:val="00D10C91"/>
    <w:rsid w:val="00D116C8"/>
    <w:rsid w:val="00D11EF5"/>
    <w:rsid w:val="00D12727"/>
    <w:rsid w:val="00D12884"/>
    <w:rsid w:val="00D13154"/>
    <w:rsid w:val="00D13FEC"/>
    <w:rsid w:val="00D15051"/>
    <w:rsid w:val="00D15194"/>
    <w:rsid w:val="00D151CE"/>
    <w:rsid w:val="00D1555F"/>
    <w:rsid w:val="00D157B7"/>
    <w:rsid w:val="00D1591B"/>
    <w:rsid w:val="00D15B19"/>
    <w:rsid w:val="00D16002"/>
    <w:rsid w:val="00D163E8"/>
    <w:rsid w:val="00D164BB"/>
    <w:rsid w:val="00D16B70"/>
    <w:rsid w:val="00D1720E"/>
    <w:rsid w:val="00D17809"/>
    <w:rsid w:val="00D178B6"/>
    <w:rsid w:val="00D20251"/>
    <w:rsid w:val="00D20CBA"/>
    <w:rsid w:val="00D210CF"/>
    <w:rsid w:val="00D21865"/>
    <w:rsid w:val="00D21B9E"/>
    <w:rsid w:val="00D22060"/>
    <w:rsid w:val="00D22F7C"/>
    <w:rsid w:val="00D2363B"/>
    <w:rsid w:val="00D24238"/>
    <w:rsid w:val="00D242B2"/>
    <w:rsid w:val="00D24540"/>
    <w:rsid w:val="00D247F1"/>
    <w:rsid w:val="00D24858"/>
    <w:rsid w:val="00D24B40"/>
    <w:rsid w:val="00D24CA3"/>
    <w:rsid w:val="00D24D56"/>
    <w:rsid w:val="00D25556"/>
    <w:rsid w:val="00D25637"/>
    <w:rsid w:val="00D262FE"/>
    <w:rsid w:val="00D2695A"/>
    <w:rsid w:val="00D26A42"/>
    <w:rsid w:val="00D277B1"/>
    <w:rsid w:val="00D2781B"/>
    <w:rsid w:val="00D27A92"/>
    <w:rsid w:val="00D27EF9"/>
    <w:rsid w:val="00D30171"/>
    <w:rsid w:val="00D30300"/>
    <w:rsid w:val="00D31188"/>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05CE"/>
    <w:rsid w:val="00D41153"/>
    <w:rsid w:val="00D413E1"/>
    <w:rsid w:val="00D4141D"/>
    <w:rsid w:val="00D41A34"/>
    <w:rsid w:val="00D422AA"/>
    <w:rsid w:val="00D42C92"/>
    <w:rsid w:val="00D4350B"/>
    <w:rsid w:val="00D43E3E"/>
    <w:rsid w:val="00D43F47"/>
    <w:rsid w:val="00D43F96"/>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2E59"/>
    <w:rsid w:val="00D53B9A"/>
    <w:rsid w:val="00D53DA9"/>
    <w:rsid w:val="00D545E9"/>
    <w:rsid w:val="00D5599A"/>
    <w:rsid w:val="00D55D94"/>
    <w:rsid w:val="00D56B78"/>
    <w:rsid w:val="00D56D77"/>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402"/>
    <w:rsid w:val="00D6444A"/>
    <w:rsid w:val="00D64A6C"/>
    <w:rsid w:val="00D65852"/>
    <w:rsid w:val="00D65D1D"/>
    <w:rsid w:val="00D66053"/>
    <w:rsid w:val="00D6615D"/>
    <w:rsid w:val="00D66380"/>
    <w:rsid w:val="00D66546"/>
    <w:rsid w:val="00D66BD3"/>
    <w:rsid w:val="00D70878"/>
    <w:rsid w:val="00D708B3"/>
    <w:rsid w:val="00D70D53"/>
    <w:rsid w:val="00D70EB9"/>
    <w:rsid w:val="00D70F9C"/>
    <w:rsid w:val="00D710BE"/>
    <w:rsid w:val="00D718B5"/>
    <w:rsid w:val="00D72BFA"/>
    <w:rsid w:val="00D73CC9"/>
    <w:rsid w:val="00D73E4F"/>
    <w:rsid w:val="00D7429B"/>
    <w:rsid w:val="00D7482A"/>
    <w:rsid w:val="00D74973"/>
    <w:rsid w:val="00D749AB"/>
    <w:rsid w:val="00D751BF"/>
    <w:rsid w:val="00D753C4"/>
    <w:rsid w:val="00D7557A"/>
    <w:rsid w:val="00D7564B"/>
    <w:rsid w:val="00D758F3"/>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1C4"/>
    <w:rsid w:val="00D82986"/>
    <w:rsid w:val="00D833A2"/>
    <w:rsid w:val="00D8394A"/>
    <w:rsid w:val="00D8424E"/>
    <w:rsid w:val="00D84284"/>
    <w:rsid w:val="00D84458"/>
    <w:rsid w:val="00D84BEE"/>
    <w:rsid w:val="00D84DD9"/>
    <w:rsid w:val="00D8522B"/>
    <w:rsid w:val="00D85370"/>
    <w:rsid w:val="00D85623"/>
    <w:rsid w:val="00D8596E"/>
    <w:rsid w:val="00D85B19"/>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2B65"/>
    <w:rsid w:val="00D93605"/>
    <w:rsid w:val="00D937C5"/>
    <w:rsid w:val="00D93996"/>
    <w:rsid w:val="00D943D2"/>
    <w:rsid w:val="00D9442E"/>
    <w:rsid w:val="00D94B75"/>
    <w:rsid w:val="00D95249"/>
    <w:rsid w:val="00D95A48"/>
    <w:rsid w:val="00D968F8"/>
    <w:rsid w:val="00D96A23"/>
    <w:rsid w:val="00D96EAF"/>
    <w:rsid w:val="00D96FB2"/>
    <w:rsid w:val="00D97655"/>
    <w:rsid w:val="00D976C0"/>
    <w:rsid w:val="00D97D7A"/>
    <w:rsid w:val="00DA094E"/>
    <w:rsid w:val="00DA0958"/>
    <w:rsid w:val="00DA0B14"/>
    <w:rsid w:val="00DA1470"/>
    <w:rsid w:val="00DA1BD3"/>
    <w:rsid w:val="00DA2665"/>
    <w:rsid w:val="00DA3385"/>
    <w:rsid w:val="00DA3929"/>
    <w:rsid w:val="00DA3D21"/>
    <w:rsid w:val="00DA42A8"/>
    <w:rsid w:val="00DA4DFC"/>
    <w:rsid w:val="00DA55FA"/>
    <w:rsid w:val="00DA594B"/>
    <w:rsid w:val="00DA5D64"/>
    <w:rsid w:val="00DA6473"/>
    <w:rsid w:val="00DA69A2"/>
    <w:rsid w:val="00DA74AE"/>
    <w:rsid w:val="00DB0709"/>
    <w:rsid w:val="00DB0DC2"/>
    <w:rsid w:val="00DB1288"/>
    <w:rsid w:val="00DB15E1"/>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40C"/>
    <w:rsid w:val="00DC0919"/>
    <w:rsid w:val="00DC0E7C"/>
    <w:rsid w:val="00DC19AE"/>
    <w:rsid w:val="00DC1D36"/>
    <w:rsid w:val="00DC20AD"/>
    <w:rsid w:val="00DC20D7"/>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C7ECF"/>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589F"/>
    <w:rsid w:val="00DD61D4"/>
    <w:rsid w:val="00DD6284"/>
    <w:rsid w:val="00DD6564"/>
    <w:rsid w:val="00DD6F0C"/>
    <w:rsid w:val="00DD7429"/>
    <w:rsid w:val="00DD74CB"/>
    <w:rsid w:val="00DD75AC"/>
    <w:rsid w:val="00DD7684"/>
    <w:rsid w:val="00DD7B6E"/>
    <w:rsid w:val="00DE03E4"/>
    <w:rsid w:val="00DE0724"/>
    <w:rsid w:val="00DE15E9"/>
    <w:rsid w:val="00DE1CD7"/>
    <w:rsid w:val="00DE1D12"/>
    <w:rsid w:val="00DE2A18"/>
    <w:rsid w:val="00DE3640"/>
    <w:rsid w:val="00DE3A6D"/>
    <w:rsid w:val="00DE3DE9"/>
    <w:rsid w:val="00DE420F"/>
    <w:rsid w:val="00DE4C5D"/>
    <w:rsid w:val="00DE526B"/>
    <w:rsid w:val="00DE5817"/>
    <w:rsid w:val="00DE5CF7"/>
    <w:rsid w:val="00DE637C"/>
    <w:rsid w:val="00DE6649"/>
    <w:rsid w:val="00DE69EF"/>
    <w:rsid w:val="00DE6F03"/>
    <w:rsid w:val="00DE6F44"/>
    <w:rsid w:val="00DE7022"/>
    <w:rsid w:val="00DE7A05"/>
    <w:rsid w:val="00DF0479"/>
    <w:rsid w:val="00DF0557"/>
    <w:rsid w:val="00DF0DED"/>
    <w:rsid w:val="00DF0FE6"/>
    <w:rsid w:val="00DF10FB"/>
    <w:rsid w:val="00DF156D"/>
    <w:rsid w:val="00DF1816"/>
    <w:rsid w:val="00DF25AF"/>
    <w:rsid w:val="00DF2CE7"/>
    <w:rsid w:val="00DF4D63"/>
    <w:rsid w:val="00DF52BE"/>
    <w:rsid w:val="00DF5745"/>
    <w:rsid w:val="00DF6003"/>
    <w:rsid w:val="00DF6027"/>
    <w:rsid w:val="00DF64F5"/>
    <w:rsid w:val="00DF6B5A"/>
    <w:rsid w:val="00DF762B"/>
    <w:rsid w:val="00DF76B0"/>
    <w:rsid w:val="00DF7820"/>
    <w:rsid w:val="00E001FC"/>
    <w:rsid w:val="00E006B9"/>
    <w:rsid w:val="00E00D91"/>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C1A"/>
    <w:rsid w:val="00E07E01"/>
    <w:rsid w:val="00E07E54"/>
    <w:rsid w:val="00E10E79"/>
    <w:rsid w:val="00E11303"/>
    <w:rsid w:val="00E11379"/>
    <w:rsid w:val="00E12020"/>
    <w:rsid w:val="00E12035"/>
    <w:rsid w:val="00E13C35"/>
    <w:rsid w:val="00E13C72"/>
    <w:rsid w:val="00E13E1F"/>
    <w:rsid w:val="00E14069"/>
    <w:rsid w:val="00E14540"/>
    <w:rsid w:val="00E14868"/>
    <w:rsid w:val="00E155FB"/>
    <w:rsid w:val="00E1571F"/>
    <w:rsid w:val="00E15814"/>
    <w:rsid w:val="00E15EDA"/>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1BCF"/>
    <w:rsid w:val="00E32076"/>
    <w:rsid w:val="00E3223D"/>
    <w:rsid w:val="00E3242F"/>
    <w:rsid w:val="00E32D78"/>
    <w:rsid w:val="00E332D0"/>
    <w:rsid w:val="00E3377B"/>
    <w:rsid w:val="00E33A13"/>
    <w:rsid w:val="00E34305"/>
    <w:rsid w:val="00E34385"/>
    <w:rsid w:val="00E34567"/>
    <w:rsid w:val="00E34D4D"/>
    <w:rsid w:val="00E3537D"/>
    <w:rsid w:val="00E35C0B"/>
    <w:rsid w:val="00E36A8F"/>
    <w:rsid w:val="00E3742C"/>
    <w:rsid w:val="00E379D9"/>
    <w:rsid w:val="00E409C2"/>
    <w:rsid w:val="00E411C7"/>
    <w:rsid w:val="00E415C1"/>
    <w:rsid w:val="00E41A08"/>
    <w:rsid w:val="00E41D33"/>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0740"/>
    <w:rsid w:val="00E51389"/>
    <w:rsid w:val="00E51D3B"/>
    <w:rsid w:val="00E51EBD"/>
    <w:rsid w:val="00E526CB"/>
    <w:rsid w:val="00E53247"/>
    <w:rsid w:val="00E53F00"/>
    <w:rsid w:val="00E553EE"/>
    <w:rsid w:val="00E55473"/>
    <w:rsid w:val="00E55696"/>
    <w:rsid w:val="00E55797"/>
    <w:rsid w:val="00E561E7"/>
    <w:rsid w:val="00E5625E"/>
    <w:rsid w:val="00E564B3"/>
    <w:rsid w:val="00E573D6"/>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20D5"/>
    <w:rsid w:val="00E73817"/>
    <w:rsid w:val="00E74C75"/>
    <w:rsid w:val="00E74C78"/>
    <w:rsid w:val="00E74D08"/>
    <w:rsid w:val="00E74DDE"/>
    <w:rsid w:val="00E75B6E"/>
    <w:rsid w:val="00E75BD2"/>
    <w:rsid w:val="00E76B4A"/>
    <w:rsid w:val="00E76CE7"/>
    <w:rsid w:val="00E770F2"/>
    <w:rsid w:val="00E77735"/>
    <w:rsid w:val="00E77A2D"/>
    <w:rsid w:val="00E77B5E"/>
    <w:rsid w:val="00E77C31"/>
    <w:rsid w:val="00E80E27"/>
    <w:rsid w:val="00E813FE"/>
    <w:rsid w:val="00E8147B"/>
    <w:rsid w:val="00E822A2"/>
    <w:rsid w:val="00E835B2"/>
    <w:rsid w:val="00E8444E"/>
    <w:rsid w:val="00E86108"/>
    <w:rsid w:val="00E86921"/>
    <w:rsid w:val="00E86AF1"/>
    <w:rsid w:val="00E87A33"/>
    <w:rsid w:val="00E87AE3"/>
    <w:rsid w:val="00E90396"/>
    <w:rsid w:val="00E91FB0"/>
    <w:rsid w:val="00E92079"/>
    <w:rsid w:val="00E92C1F"/>
    <w:rsid w:val="00E93999"/>
    <w:rsid w:val="00E93A3C"/>
    <w:rsid w:val="00E9484E"/>
    <w:rsid w:val="00E94C71"/>
    <w:rsid w:val="00E94E59"/>
    <w:rsid w:val="00E95C94"/>
    <w:rsid w:val="00E968EA"/>
    <w:rsid w:val="00E96A55"/>
    <w:rsid w:val="00E96E4D"/>
    <w:rsid w:val="00E9769E"/>
    <w:rsid w:val="00E97EED"/>
    <w:rsid w:val="00EA009F"/>
    <w:rsid w:val="00EA0AAB"/>
    <w:rsid w:val="00EA0BF5"/>
    <w:rsid w:val="00EA0E9A"/>
    <w:rsid w:val="00EA1209"/>
    <w:rsid w:val="00EA13FE"/>
    <w:rsid w:val="00EA193A"/>
    <w:rsid w:val="00EA20BE"/>
    <w:rsid w:val="00EA2D2A"/>
    <w:rsid w:val="00EA3360"/>
    <w:rsid w:val="00EA36EB"/>
    <w:rsid w:val="00EA3B17"/>
    <w:rsid w:val="00EA3F9F"/>
    <w:rsid w:val="00EA4425"/>
    <w:rsid w:val="00EA5178"/>
    <w:rsid w:val="00EA5C20"/>
    <w:rsid w:val="00EA6A32"/>
    <w:rsid w:val="00EA6FB5"/>
    <w:rsid w:val="00EA710F"/>
    <w:rsid w:val="00EA72C9"/>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55A8"/>
    <w:rsid w:val="00EB57B6"/>
    <w:rsid w:val="00EB5D8C"/>
    <w:rsid w:val="00EB5F35"/>
    <w:rsid w:val="00EB60C9"/>
    <w:rsid w:val="00EB6677"/>
    <w:rsid w:val="00EB6E77"/>
    <w:rsid w:val="00EB7523"/>
    <w:rsid w:val="00EB773D"/>
    <w:rsid w:val="00EB779D"/>
    <w:rsid w:val="00EB7B27"/>
    <w:rsid w:val="00EB7B6E"/>
    <w:rsid w:val="00EC0983"/>
    <w:rsid w:val="00EC0D39"/>
    <w:rsid w:val="00EC2E5C"/>
    <w:rsid w:val="00EC3072"/>
    <w:rsid w:val="00EC33F4"/>
    <w:rsid w:val="00EC3A78"/>
    <w:rsid w:val="00EC3DEC"/>
    <w:rsid w:val="00EC3F8F"/>
    <w:rsid w:val="00EC40F2"/>
    <w:rsid w:val="00EC4C85"/>
    <w:rsid w:val="00EC5630"/>
    <w:rsid w:val="00EC5893"/>
    <w:rsid w:val="00EC5C1D"/>
    <w:rsid w:val="00EC6FAA"/>
    <w:rsid w:val="00EC7276"/>
    <w:rsid w:val="00ED0019"/>
    <w:rsid w:val="00ED050F"/>
    <w:rsid w:val="00ED0FF9"/>
    <w:rsid w:val="00ED14E1"/>
    <w:rsid w:val="00ED199E"/>
    <w:rsid w:val="00ED1A42"/>
    <w:rsid w:val="00ED1D4A"/>
    <w:rsid w:val="00ED23FC"/>
    <w:rsid w:val="00ED2424"/>
    <w:rsid w:val="00ED25B6"/>
    <w:rsid w:val="00ED30E7"/>
    <w:rsid w:val="00ED3188"/>
    <w:rsid w:val="00ED3378"/>
    <w:rsid w:val="00ED34F1"/>
    <w:rsid w:val="00ED358C"/>
    <w:rsid w:val="00ED3759"/>
    <w:rsid w:val="00ED4039"/>
    <w:rsid w:val="00ED4768"/>
    <w:rsid w:val="00ED4B69"/>
    <w:rsid w:val="00ED4C57"/>
    <w:rsid w:val="00ED4D7F"/>
    <w:rsid w:val="00ED50C6"/>
    <w:rsid w:val="00ED5AF8"/>
    <w:rsid w:val="00ED6855"/>
    <w:rsid w:val="00ED7203"/>
    <w:rsid w:val="00EE09B9"/>
    <w:rsid w:val="00EE0DFC"/>
    <w:rsid w:val="00EE0ED4"/>
    <w:rsid w:val="00EE0F0A"/>
    <w:rsid w:val="00EE1BF4"/>
    <w:rsid w:val="00EE20E6"/>
    <w:rsid w:val="00EE223D"/>
    <w:rsid w:val="00EE2896"/>
    <w:rsid w:val="00EE2CD1"/>
    <w:rsid w:val="00EE3558"/>
    <w:rsid w:val="00EE3A32"/>
    <w:rsid w:val="00EE4277"/>
    <w:rsid w:val="00EE4361"/>
    <w:rsid w:val="00EE4BEB"/>
    <w:rsid w:val="00EE4CEE"/>
    <w:rsid w:val="00EE4F97"/>
    <w:rsid w:val="00EE51D8"/>
    <w:rsid w:val="00EE54CF"/>
    <w:rsid w:val="00EE6439"/>
    <w:rsid w:val="00EE679F"/>
    <w:rsid w:val="00EF02F1"/>
    <w:rsid w:val="00EF08B4"/>
    <w:rsid w:val="00EF09F0"/>
    <w:rsid w:val="00EF0C72"/>
    <w:rsid w:val="00EF1220"/>
    <w:rsid w:val="00EF174B"/>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19"/>
    <w:rsid w:val="00EF6FEE"/>
    <w:rsid w:val="00EF70F9"/>
    <w:rsid w:val="00EF76AC"/>
    <w:rsid w:val="00EF780C"/>
    <w:rsid w:val="00F00163"/>
    <w:rsid w:val="00F00691"/>
    <w:rsid w:val="00F00D7E"/>
    <w:rsid w:val="00F01224"/>
    <w:rsid w:val="00F012C2"/>
    <w:rsid w:val="00F0171B"/>
    <w:rsid w:val="00F01CF0"/>
    <w:rsid w:val="00F02313"/>
    <w:rsid w:val="00F03912"/>
    <w:rsid w:val="00F03D33"/>
    <w:rsid w:val="00F03F69"/>
    <w:rsid w:val="00F046B3"/>
    <w:rsid w:val="00F0474C"/>
    <w:rsid w:val="00F0514C"/>
    <w:rsid w:val="00F05A4E"/>
    <w:rsid w:val="00F0600E"/>
    <w:rsid w:val="00F06079"/>
    <w:rsid w:val="00F06915"/>
    <w:rsid w:val="00F06E8F"/>
    <w:rsid w:val="00F07338"/>
    <w:rsid w:val="00F10127"/>
    <w:rsid w:val="00F103CA"/>
    <w:rsid w:val="00F104CF"/>
    <w:rsid w:val="00F107AA"/>
    <w:rsid w:val="00F1089E"/>
    <w:rsid w:val="00F11327"/>
    <w:rsid w:val="00F117EC"/>
    <w:rsid w:val="00F11932"/>
    <w:rsid w:val="00F11AA5"/>
    <w:rsid w:val="00F11D73"/>
    <w:rsid w:val="00F12568"/>
    <w:rsid w:val="00F127BD"/>
    <w:rsid w:val="00F1284F"/>
    <w:rsid w:val="00F12986"/>
    <w:rsid w:val="00F13015"/>
    <w:rsid w:val="00F13966"/>
    <w:rsid w:val="00F1499E"/>
    <w:rsid w:val="00F149E7"/>
    <w:rsid w:val="00F149ED"/>
    <w:rsid w:val="00F15692"/>
    <w:rsid w:val="00F156EF"/>
    <w:rsid w:val="00F161A1"/>
    <w:rsid w:val="00F16710"/>
    <w:rsid w:val="00F16A40"/>
    <w:rsid w:val="00F17673"/>
    <w:rsid w:val="00F17920"/>
    <w:rsid w:val="00F17EF0"/>
    <w:rsid w:val="00F201CA"/>
    <w:rsid w:val="00F2039E"/>
    <w:rsid w:val="00F21811"/>
    <w:rsid w:val="00F223DB"/>
    <w:rsid w:val="00F22467"/>
    <w:rsid w:val="00F22537"/>
    <w:rsid w:val="00F22572"/>
    <w:rsid w:val="00F22792"/>
    <w:rsid w:val="00F22BEA"/>
    <w:rsid w:val="00F22CC6"/>
    <w:rsid w:val="00F22D7B"/>
    <w:rsid w:val="00F23373"/>
    <w:rsid w:val="00F239D9"/>
    <w:rsid w:val="00F24674"/>
    <w:rsid w:val="00F25149"/>
    <w:rsid w:val="00F2546A"/>
    <w:rsid w:val="00F2554A"/>
    <w:rsid w:val="00F26B91"/>
    <w:rsid w:val="00F2715E"/>
    <w:rsid w:val="00F27A7F"/>
    <w:rsid w:val="00F30627"/>
    <w:rsid w:val="00F306FA"/>
    <w:rsid w:val="00F30BB5"/>
    <w:rsid w:val="00F30F67"/>
    <w:rsid w:val="00F32A97"/>
    <w:rsid w:val="00F32EC0"/>
    <w:rsid w:val="00F33D33"/>
    <w:rsid w:val="00F349CF"/>
    <w:rsid w:val="00F34A69"/>
    <w:rsid w:val="00F34F76"/>
    <w:rsid w:val="00F35413"/>
    <w:rsid w:val="00F35590"/>
    <w:rsid w:val="00F372EA"/>
    <w:rsid w:val="00F376F1"/>
    <w:rsid w:val="00F377B3"/>
    <w:rsid w:val="00F37C10"/>
    <w:rsid w:val="00F37DAB"/>
    <w:rsid w:val="00F37FAF"/>
    <w:rsid w:val="00F40019"/>
    <w:rsid w:val="00F406CB"/>
    <w:rsid w:val="00F4101B"/>
    <w:rsid w:val="00F41034"/>
    <w:rsid w:val="00F41529"/>
    <w:rsid w:val="00F429A0"/>
    <w:rsid w:val="00F44A21"/>
    <w:rsid w:val="00F45045"/>
    <w:rsid w:val="00F4548C"/>
    <w:rsid w:val="00F4565D"/>
    <w:rsid w:val="00F45FC9"/>
    <w:rsid w:val="00F46E50"/>
    <w:rsid w:val="00F4781A"/>
    <w:rsid w:val="00F502DD"/>
    <w:rsid w:val="00F50A31"/>
    <w:rsid w:val="00F50C07"/>
    <w:rsid w:val="00F50D48"/>
    <w:rsid w:val="00F50FD1"/>
    <w:rsid w:val="00F510CD"/>
    <w:rsid w:val="00F51672"/>
    <w:rsid w:val="00F51878"/>
    <w:rsid w:val="00F51E89"/>
    <w:rsid w:val="00F5221E"/>
    <w:rsid w:val="00F52366"/>
    <w:rsid w:val="00F527A6"/>
    <w:rsid w:val="00F529C6"/>
    <w:rsid w:val="00F52E6D"/>
    <w:rsid w:val="00F533C9"/>
    <w:rsid w:val="00F53413"/>
    <w:rsid w:val="00F53559"/>
    <w:rsid w:val="00F537B4"/>
    <w:rsid w:val="00F55315"/>
    <w:rsid w:val="00F55D11"/>
    <w:rsid w:val="00F561BD"/>
    <w:rsid w:val="00F5685E"/>
    <w:rsid w:val="00F56FB7"/>
    <w:rsid w:val="00F57538"/>
    <w:rsid w:val="00F57C1B"/>
    <w:rsid w:val="00F57FE5"/>
    <w:rsid w:val="00F6000C"/>
    <w:rsid w:val="00F600BB"/>
    <w:rsid w:val="00F60163"/>
    <w:rsid w:val="00F60B17"/>
    <w:rsid w:val="00F616C9"/>
    <w:rsid w:val="00F61828"/>
    <w:rsid w:val="00F61A50"/>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6CF"/>
    <w:rsid w:val="00F72FD1"/>
    <w:rsid w:val="00F73246"/>
    <w:rsid w:val="00F7338A"/>
    <w:rsid w:val="00F7372A"/>
    <w:rsid w:val="00F738C4"/>
    <w:rsid w:val="00F74B27"/>
    <w:rsid w:val="00F75304"/>
    <w:rsid w:val="00F7532B"/>
    <w:rsid w:val="00F7632E"/>
    <w:rsid w:val="00F769A6"/>
    <w:rsid w:val="00F77067"/>
    <w:rsid w:val="00F77266"/>
    <w:rsid w:val="00F776CA"/>
    <w:rsid w:val="00F77796"/>
    <w:rsid w:val="00F8068D"/>
    <w:rsid w:val="00F80BFF"/>
    <w:rsid w:val="00F8144F"/>
    <w:rsid w:val="00F81CB5"/>
    <w:rsid w:val="00F82710"/>
    <w:rsid w:val="00F82743"/>
    <w:rsid w:val="00F840FD"/>
    <w:rsid w:val="00F84452"/>
    <w:rsid w:val="00F845D2"/>
    <w:rsid w:val="00F84B95"/>
    <w:rsid w:val="00F84D31"/>
    <w:rsid w:val="00F85119"/>
    <w:rsid w:val="00F85549"/>
    <w:rsid w:val="00F86308"/>
    <w:rsid w:val="00F869AD"/>
    <w:rsid w:val="00F8752C"/>
    <w:rsid w:val="00F876F7"/>
    <w:rsid w:val="00F87933"/>
    <w:rsid w:val="00F87E12"/>
    <w:rsid w:val="00F87F79"/>
    <w:rsid w:val="00F90C14"/>
    <w:rsid w:val="00F90F73"/>
    <w:rsid w:val="00F91680"/>
    <w:rsid w:val="00F91B14"/>
    <w:rsid w:val="00F91B99"/>
    <w:rsid w:val="00F9230F"/>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440"/>
    <w:rsid w:val="00FA5733"/>
    <w:rsid w:val="00FA5952"/>
    <w:rsid w:val="00FA5CC3"/>
    <w:rsid w:val="00FA5CF0"/>
    <w:rsid w:val="00FA5D72"/>
    <w:rsid w:val="00FA5DDA"/>
    <w:rsid w:val="00FA5E3D"/>
    <w:rsid w:val="00FA5FCA"/>
    <w:rsid w:val="00FA68C7"/>
    <w:rsid w:val="00FB13A6"/>
    <w:rsid w:val="00FB1883"/>
    <w:rsid w:val="00FB239E"/>
    <w:rsid w:val="00FB2D35"/>
    <w:rsid w:val="00FB31AE"/>
    <w:rsid w:val="00FB3EB5"/>
    <w:rsid w:val="00FB4678"/>
    <w:rsid w:val="00FB50F9"/>
    <w:rsid w:val="00FB59E5"/>
    <w:rsid w:val="00FB7021"/>
    <w:rsid w:val="00FB73E3"/>
    <w:rsid w:val="00FB75DE"/>
    <w:rsid w:val="00FB7D15"/>
    <w:rsid w:val="00FC09B6"/>
    <w:rsid w:val="00FC0C24"/>
    <w:rsid w:val="00FC0D89"/>
    <w:rsid w:val="00FC0EA4"/>
    <w:rsid w:val="00FC12E2"/>
    <w:rsid w:val="00FC3149"/>
    <w:rsid w:val="00FC33D5"/>
    <w:rsid w:val="00FC3668"/>
    <w:rsid w:val="00FC3A8D"/>
    <w:rsid w:val="00FC446C"/>
    <w:rsid w:val="00FC446D"/>
    <w:rsid w:val="00FC51EC"/>
    <w:rsid w:val="00FC56E6"/>
    <w:rsid w:val="00FC5D38"/>
    <w:rsid w:val="00FC5F48"/>
    <w:rsid w:val="00FC6190"/>
    <w:rsid w:val="00FC6677"/>
    <w:rsid w:val="00FC6AE5"/>
    <w:rsid w:val="00FC76F9"/>
    <w:rsid w:val="00FC77C8"/>
    <w:rsid w:val="00FC7A2D"/>
    <w:rsid w:val="00FC7C09"/>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D7FD9"/>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719"/>
    <w:rsid w:val="00FF09F3"/>
    <w:rsid w:val="00FF0A42"/>
    <w:rsid w:val="00FF193F"/>
    <w:rsid w:val="00FF1FC0"/>
    <w:rsid w:val="00FF21D2"/>
    <w:rsid w:val="00FF2710"/>
    <w:rsid w:val="00FF30A9"/>
    <w:rsid w:val="00FF3D8E"/>
    <w:rsid w:val="00FF3DE5"/>
    <w:rsid w:val="00FF444C"/>
    <w:rsid w:val="00FF471D"/>
    <w:rsid w:val="00FF4BFA"/>
    <w:rsid w:val="00FF4C10"/>
    <w:rsid w:val="00FF53A3"/>
    <w:rsid w:val="00FF561C"/>
    <w:rsid w:val="00FF610C"/>
    <w:rsid w:val="00FF63B4"/>
    <w:rsid w:val="00FF68CF"/>
    <w:rsid w:val="00FF7CAE"/>
    <w:rsid w:val="00FF7E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43F"/>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A04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043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 w:type="paragraph" w:customStyle="1" w:styleId="paragraph">
    <w:name w:val="paragraph"/>
    <w:basedOn w:val="Normal"/>
    <w:rsid w:val="005E1ACC"/>
    <w:pPr>
      <w:widowControl/>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5E1ACC"/>
  </w:style>
  <w:style w:type="character" w:customStyle="1" w:styleId="eop">
    <w:name w:val="eop"/>
    <w:basedOn w:val="DefaultParagraphFont"/>
    <w:rsid w:val="005E1ACC"/>
  </w:style>
  <w:style w:type="character" w:customStyle="1" w:styleId="scxw163024323">
    <w:name w:val="scxw163024323"/>
    <w:basedOn w:val="DefaultParagraphFont"/>
    <w:rsid w:val="00BB6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143892">
      <w:bodyDiv w:val="1"/>
      <w:marLeft w:val="0"/>
      <w:marRight w:val="0"/>
      <w:marTop w:val="0"/>
      <w:marBottom w:val="0"/>
      <w:divBdr>
        <w:top w:val="none" w:sz="0" w:space="0" w:color="auto"/>
        <w:left w:val="none" w:sz="0" w:space="0" w:color="auto"/>
        <w:bottom w:val="none" w:sz="0" w:space="0" w:color="auto"/>
        <w:right w:val="none" w:sz="0" w:space="0" w:color="auto"/>
      </w:divBdr>
      <w:divsChild>
        <w:div w:id="1315451730">
          <w:marLeft w:val="0"/>
          <w:marRight w:val="0"/>
          <w:marTop w:val="0"/>
          <w:marBottom w:val="0"/>
          <w:divBdr>
            <w:top w:val="none" w:sz="0" w:space="0" w:color="auto"/>
            <w:left w:val="none" w:sz="0" w:space="0" w:color="auto"/>
            <w:bottom w:val="none" w:sz="0" w:space="0" w:color="auto"/>
            <w:right w:val="none" w:sz="0" w:space="0" w:color="auto"/>
          </w:divBdr>
          <w:divsChild>
            <w:div w:id="1170680467">
              <w:marLeft w:val="0"/>
              <w:marRight w:val="0"/>
              <w:marTop w:val="0"/>
              <w:marBottom w:val="0"/>
              <w:divBdr>
                <w:top w:val="none" w:sz="0" w:space="0" w:color="auto"/>
                <w:left w:val="none" w:sz="0" w:space="0" w:color="auto"/>
                <w:bottom w:val="none" w:sz="0" w:space="0" w:color="auto"/>
                <w:right w:val="none" w:sz="0" w:space="0" w:color="auto"/>
              </w:divBdr>
            </w:div>
          </w:divsChild>
        </w:div>
        <w:div w:id="1164202115">
          <w:marLeft w:val="0"/>
          <w:marRight w:val="0"/>
          <w:marTop w:val="0"/>
          <w:marBottom w:val="0"/>
          <w:divBdr>
            <w:top w:val="none" w:sz="0" w:space="0" w:color="auto"/>
            <w:left w:val="none" w:sz="0" w:space="0" w:color="auto"/>
            <w:bottom w:val="none" w:sz="0" w:space="0" w:color="auto"/>
            <w:right w:val="none" w:sz="0" w:space="0" w:color="auto"/>
          </w:divBdr>
          <w:divsChild>
            <w:div w:id="1650790012">
              <w:marLeft w:val="0"/>
              <w:marRight w:val="0"/>
              <w:marTop w:val="0"/>
              <w:marBottom w:val="0"/>
              <w:divBdr>
                <w:top w:val="none" w:sz="0" w:space="0" w:color="auto"/>
                <w:left w:val="none" w:sz="0" w:space="0" w:color="auto"/>
                <w:bottom w:val="none" w:sz="0" w:space="0" w:color="auto"/>
                <w:right w:val="none" w:sz="0" w:space="0" w:color="auto"/>
              </w:divBdr>
            </w:div>
          </w:divsChild>
        </w:div>
        <w:div w:id="1362054601">
          <w:marLeft w:val="0"/>
          <w:marRight w:val="0"/>
          <w:marTop w:val="0"/>
          <w:marBottom w:val="0"/>
          <w:divBdr>
            <w:top w:val="none" w:sz="0" w:space="0" w:color="auto"/>
            <w:left w:val="none" w:sz="0" w:space="0" w:color="auto"/>
            <w:bottom w:val="none" w:sz="0" w:space="0" w:color="auto"/>
            <w:right w:val="none" w:sz="0" w:space="0" w:color="auto"/>
          </w:divBdr>
          <w:divsChild>
            <w:div w:id="1502892980">
              <w:marLeft w:val="0"/>
              <w:marRight w:val="0"/>
              <w:marTop w:val="0"/>
              <w:marBottom w:val="0"/>
              <w:divBdr>
                <w:top w:val="none" w:sz="0" w:space="0" w:color="auto"/>
                <w:left w:val="none" w:sz="0" w:space="0" w:color="auto"/>
                <w:bottom w:val="none" w:sz="0" w:space="0" w:color="auto"/>
                <w:right w:val="none" w:sz="0" w:space="0" w:color="auto"/>
              </w:divBdr>
            </w:div>
          </w:divsChild>
        </w:div>
        <w:div w:id="1518811637">
          <w:marLeft w:val="0"/>
          <w:marRight w:val="0"/>
          <w:marTop w:val="0"/>
          <w:marBottom w:val="0"/>
          <w:divBdr>
            <w:top w:val="none" w:sz="0" w:space="0" w:color="auto"/>
            <w:left w:val="none" w:sz="0" w:space="0" w:color="auto"/>
            <w:bottom w:val="none" w:sz="0" w:space="0" w:color="auto"/>
            <w:right w:val="none" w:sz="0" w:space="0" w:color="auto"/>
          </w:divBdr>
          <w:divsChild>
            <w:div w:id="669406306">
              <w:marLeft w:val="0"/>
              <w:marRight w:val="0"/>
              <w:marTop w:val="0"/>
              <w:marBottom w:val="0"/>
              <w:divBdr>
                <w:top w:val="none" w:sz="0" w:space="0" w:color="auto"/>
                <w:left w:val="none" w:sz="0" w:space="0" w:color="auto"/>
                <w:bottom w:val="none" w:sz="0" w:space="0" w:color="auto"/>
                <w:right w:val="none" w:sz="0" w:space="0" w:color="auto"/>
              </w:divBdr>
            </w:div>
          </w:divsChild>
        </w:div>
        <w:div w:id="535850770">
          <w:marLeft w:val="0"/>
          <w:marRight w:val="0"/>
          <w:marTop w:val="0"/>
          <w:marBottom w:val="0"/>
          <w:divBdr>
            <w:top w:val="none" w:sz="0" w:space="0" w:color="auto"/>
            <w:left w:val="none" w:sz="0" w:space="0" w:color="auto"/>
            <w:bottom w:val="none" w:sz="0" w:space="0" w:color="auto"/>
            <w:right w:val="none" w:sz="0" w:space="0" w:color="auto"/>
          </w:divBdr>
          <w:divsChild>
            <w:div w:id="1923875621">
              <w:marLeft w:val="0"/>
              <w:marRight w:val="0"/>
              <w:marTop w:val="0"/>
              <w:marBottom w:val="0"/>
              <w:divBdr>
                <w:top w:val="none" w:sz="0" w:space="0" w:color="auto"/>
                <w:left w:val="none" w:sz="0" w:space="0" w:color="auto"/>
                <w:bottom w:val="none" w:sz="0" w:space="0" w:color="auto"/>
                <w:right w:val="none" w:sz="0" w:space="0" w:color="auto"/>
              </w:divBdr>
            </w:div>
          </w:divsChild>
        </w:div>
        <w:div w:id="1110517207">
          <w:marLeft w:val="0"/>
          <w:marRight w:val="0"/>
          <w:marTop w:val="0"/>
          <w:marBottom w:val="0"/>
          <w:divBdr>
            <w:top w:val="none" w:sz="0" w:space="0" w:color="auto"/>
            <w:left w:val="none" w:sz="0" w:space="0" w:color="auto"/>
            <w:bottom w:val="none" w:sz="0" w:space="0" w:color="auto"/>
            <w:right w:val="none" w:sz="0" w:space="0" w:color="auto"/>
          </w:divBdr>
          <w:divsChild>
            <w:div w:id="1081609172">
              <w:marLeft w:val="0"/>
              <w:marRight w:val="0"/>
              <w:marTop w:val="0"/>
              <w:marBottom w:val="0"/>
              <w:divBdr>
                <w:top w:val="none" w:sz="0" w:space="0" w:color="auto"/>
                <w:left w:val="none" w:sz="0" w:space="0" w:color="auto"/>
                <w:bottom w:val="none" w:sz="0" w:space="0" w:color="auto"/>
                <w:right w:val="none" w:sz="0" w:space="0" w:color="auto"/>
              </w:divBdr>
            </w:div>
          </w:divsChild>
        </w:div>
        <w:div w:id="1072195620">
          <w:marLeft w:val="0"/>
          <w:marRight w:val="0"/>
          <w:marTop w:val="0"/>
          <w:marBottom w:val="0"/>
          <w:divBdr>
            <w:top w:val="none" w:sz="0" w:space="0" w:color="auto"/>
            <w:left w:val="none" w:sz="0" w:space="0" w:color="auto"/>
            <w:bottom w:val="none" w:sz="0" w:space="0" w:color="auto"/>
            <w:right w:val="none" w:sz="0" w:space="0" w:color="auto"/>
          </w:divBdr>
          <w:divsChild>
            <w:div w:id="1292251298">
              <w:marLeft w:val="0"/>
              <w:marRight w:val="0"/>
              <w:marTop w:val="0"/>
              <w:marBottom w:val="0"/>
              <w:divBdr>
                <w:top w:val="none" w:sz="0" w:space="0" w:color="auto"/>
                <w:left w:val="none" w:sz="0" w:space="0" w:color="auto"/>
                <w:bottom w:val="none" w:sz="0" w:space="0" w:color="auto"/>
                <w:right w:val="none" w:sz="0" w:space="0" w:color="auto"/>
              </w:divBdr>
            </w:div>
          </w:divsChild>
        </w:div>
        <w:div w:id="1394622833">
          <w:marLeft w:val="0"/>
          <w:marRight w:val="0"/>
          <w:marTop w:val="0"/>
          <w:marBottom w:val="0"/>
          <w:divBdr>
            <w:top w:val="none" w:sz="0" w:space="0" w:color="auto"/>
            <w:left w:val="none" w:sz="0" w:space="0" w:color="auto"/>
            <w:bottom w:val="none" w:sz="0" w:space="0" w:color="auto"/>
            <w:right w:val="none" w:sz="0" w:space="0" w:color="auto"/>
          </w:divBdr>
          <w:divsChild>
            <w:div w:id="1658731743">
              <w:marLeft w:val="0"/>
              <w:marRight w:val="0"/>
              <w:marTop w:val="0"/>
              <w:marBottom w:val="0"/>
              <w:divBdr>
                <w:top w:val="none" w:sz="0" w:space="0" w:color="auto"/>
                <w:left w:val="none" w:sz="0" w:space="0" w:color="auto"/>
                <w:bottom w:val="none" w:sz="0" w:space="0" w:color="auto"/>
                <w:right w:val="none" w:sz="0" w:space="0" w:color="auto"/>
              </w:divBdr>
            </w:div>
          </w:divsChild>
        </w:div>
        <w:div w:id="1962413329">
          <w:marLeft w:val="0"/>
          <w:marRight w:val="0"/>
          <w:marTop w:val="0"/>
          <w:marBottom w:val="0"/>
          <w:divBdr>
            <w:top w:val="none" w:sz="0" w:space="0" w:color="auto"/>
            <w:left w:val="none" w:sz="0" w:space="0" w:color="auto"/>
            <w:bottom w:val="none" w:sz="0" w:space="0" w:color="auto"/>
            <w:right w:val="none" w:sz="0" w:space="0" w:color="auto"/>
          </w:divBdr>
          <w:divsChild>
            <w:div w:id="937981396">
              <w:marLeft w:val="0"/>
              <w:marRight w:val="0"/>
              <w:marTop w:val="0"/>
              <w:marBottom w:val="0"/>
              <w:divBdr>
                <w:top w:val="none" w:sz="0" w:space="0" w:color="auto"/>
                <w:left w:val="none" w:sz="0" w:space="0" w:color="auto"/>
                <w:bottom w:val="none" w:sz="0" w:space="0" w:color="auto"/>
                <w:right w:val="none" w:sz="0" w:space="0" w:color="auto"/>
              </w:divBdr>
            </w:div>
          </w:divsChild>
        </w:div>
        <w:div w:id="2089424555">
          <w:marLeft w:val="0"/>
          <w:marRight w:val="0"/>
          <w:marTop w:val="0"/>
          <w:marBottom w:val="0"/>
          <w:divBdr>
            <w:top w:val="none" w:sz="0" w:space="0" w:color="auto"/>
            <w:left w:val="none" w:sz="0" w:space="0" w:color="auto"/>
            <w:bottom w:val="none" w:sz="0" w:space="0" w:color="auto"/>
            <w:right w:val="none" w:sz="0" w:space="0" w:color="auto"/>
          </w:divBdr>
          <w:divsChild>
            <w:div w:id="1084257068">
              <w:marLeft w:val="0"/>
              <w:marRight w:val="0"/>
              <w:marTop w:val="0"/>
              <w:marBottom w:val="0"/>
              <w:divBdr>
                <w:top w:val="none" w:sz="0" w:space="0" w:color="auto"/>
                <w:left w:val="none" w:sz="0" w:space="0" w:color="auto"/>
                <w:bottom w:val="none" w:sz="0" w:space="0" w:color="auto"/>
                <w:right w:val="none" w:sz="0" w:space="0" w:color="auto"/>
              </w:divBdr>
            </w:div>
          </w:divsChild>
        </w:div>
        <w:div w:id="969747418">
          <w:marLeft w:val="0"/>
          <w:marRight w:val="0"/>
          <w:marTop w:val="0"/>
          <w:marBottom w:val="0"/>
          <w:divBdr>
            <w:top w:val="none" w:sz="0" w:space="0" w:color="auto"/>
            <w:left w:val="none" w:sz="0" w:space="0" w:color="auto"/>
            <w:bottom w:val="none" w:sz="0" w:space="0" w:color="auto"/>
            <w:right w:val="none" w:sz="0" w:space="0" w:color="auto"/>
          </w:divBdr>
          <w:divsChild>
            <w:div w:id="672144861">
              <w:marLeft w:val="0"/>
              <w:marRight w:val="0"/>
              <w:marTop w:val="0"/>
              <w:marBottom w:val="0"/>
              <w:divBdr>
                <w:top w:val="none" w:sz="0" w:space="0" w:color="auto"/>
                <w:left w:val="none" w:sz="0" w:space="0" w:color="auto"/>
                <w:bottom w:val="none" w:sz="0" w:space="0" w:color="auto"/>
                <w:right w:val="none" w:sz="0" w:space="0" w:color="auto"/>
              </w:divBdr>
            </w:div>
          </w:divsChild>
        </w:div>
        <w:div w:id="1653439660">
          <w:marLeft w:val="0"/>
          <w:marRight w:val="0"/>
          <w:marTop w:val="0"/>
          <w:marBottom w:val="0"/>
          <w:divBdr>
            <w:top w:val="none" w:sz="0" w:space="0" w:color="auto"/>
            <w:left w:val="none" w:sz="0" w:space="0" w:color="auto"/>
            <w:bottom w:val="none" w:sz="0" w:space="0" w:color="auto"/>
            <w:right w:val="none" w:sz="0" w:space="0" w:color="auto"/>
          </w:divBdr>
          <w:divsChild>
            <w:div w:id="1906530686">
              <w:marLeft w:val="0"/>
              <w:marRight w:val="0"/>
              <w:marTop w:val="0"/>
              <w:marBottom w:val="0"/>
              <w:divBdr>
                <w:top w:val="none" w:sz="0" w:space="0" w:color="auto"/>
                <w:left w:val="none" w:sz="0" w:space="0" w:color="auto"/>
                <w:bottom w:val="none" w:sz="0" w:space="0" w:color="auto"/>
                <w:right w:val="none" w:sz="0" w:space="0" w:color="auto"/>
              </w:divBdr>
            </w:div>
          </w:divsChild>
        </w:div>
        <w:div w:id="2024278589">
          <w:marLeft w:val="0"/>
          <w:marRight w:val="0"/>
          <w:marTop w:val="0"/>
          <w:marBottom w:val="0"/>
          <w:divBdr>
            <w:top w:val="none" w:sz="0" w:space="0" w:color="auto"/>
            <w:left w:val="none" w:sz="0" w:space="0" w:color="auto"/>
            <w:bottom w:val="none" w:sz="0" w:space="0" w:color="auto"/>
            <w:right w:val="none" w:sz="0" w:space="0" w:color="auto"/>
          </w:divBdr>
          <w:divsChild>
            <w:div w:id="123475826">
              <w:marLeft w:val="0"/>
              <w:marRight w:val="0"/>
              <w:marTop w:val="0"/>
              <w:marBottom w:val="0"/>
              <w:divBdr>
                <w:top w:val="none" w:sz="0" w:space="0" w:color="auto"/>
                <w:left w:val="none" w:sz="0" w:space="0" w:color="auto"/>
                <w:bottom w:val="none" w:sz="0" w:space="0" w:color="auto"/>
                <w:right w:val="none" w:sz="0" w:space="0" w:color="auto"/>
              </w:divBdr>
            </w:div>
          </w:divsChild>
        </w:div>
        <w:div w:id="697775443">
          <w:marLeft w:val="0"/>
          <w:marRight w:val="0"/>
          <w:marTop w:val="0"/>
          <w:marBottom w:val="0"/>
          <w:divBdr>
            <w:top w:val="none" w:sz="0" w:space="0" w:color="auto"/>
            <w:left w:val="none" w:sz="0" w:space="0" w:color="auto"/>
            <w:bottom w:val="none" w:sz="0" w:space="0" w:color="auto"/>
            <w:right w:val="none" w:sz="0" w:space="0" w:color="auto"/>
          </w:divBdr>
          <w:divsChild>
            <w:div w:id="1475566913">
              <w:marLeft w:val="0"/>
              <w:marRight w:val="0"/>
              <w:marTop w:val="0"/>
              <w:marBottom w:val="0"/>
              <w:divBdr>
                <w:top w:val="none" w:sz="0" w:space="0" w:color="auto"/>
                <w:left w:val="none" w:sz="0" w:space="0" w:color="auto"/>
                <w:bottom w:val="none" w:sz="0" w:space="0" w:color="auto"/>
                <w:right w:val="none" w:sz="0" w:space="0" w:color="auto"/>
              </w:divBdr>
            </w:div>
          </w:divsChild>
        </w:div>
        <w:div w:id="1698964226">
          <w:marLeft w:val="0"/>
          <w:marRight w:val="0"/>
          <w:marTop w:val="0"/>
          <w:marBottom w:val="0"/>
          <w:divBdr>
            <w:top w:val="none" w:sz="0" w:space="0" w:color="auto"/>
            <w:left w:val="none" w:sz="0" w:space="0" w:color="auto"/>
            <w:bottom w:val="none" w:sz="0" w:space="0" w:color="auto"/>
            <w:right w:val="none" w:sz="0" w:space="0" w:color="auto"/>
          </w:divBdr>
          <w:divsChild>
            <w:div w:id="1535657418">
              <w:marLeft w:val="0"/>
              <w:marRight w:val="0"/>
              <w:marTop w:val="0"/>
              <w:marBottom w:val="0"/>
              <w:divBdr>
                <w:top w:val="none" w:sz="0" w:space="0" w:color="auto"/>
                <w:left w:val="none" w:sz="0" w:space="0" w:color="auto"/>
                <w:bottom w:val="none" w:sz="0" w:space="0" w:color="auto"/>
                <w:right w:val="none" w:sz="0" w:space="0" w:color="auto"/>
              </w:divBdr>
            </w:div>
          </w:divsChild>
        </w:div>
        <w:div w:id="933561432">
          <w:marLeft w:val="0"/>
          <w:marRight w:val="0"/>
          <w:marTop w:val="0"/>
          <w:marBottom w:val="0"/>
          <w:divBdr>
            <w:top w:val="none" w:sz="0" w:space="0" w:color="auto"/>
            <w:left w:val="none" w:sz="0" w:space="0" w:color="auto"/>
            <w:bottom w:val="none" w:sz="0" w:space="0" w:color="auto"/>
            <w:right w:val="none" w:sz="0" w:space="0" w:color="auto"/>
          </w:divBdr>
          <w:divsChild>
            <w:div w:id="270013963">
              <w:marLeft w:val="0"/>
              <w:marRight w:val="0"/>
              <w:marTop w:val="0"/>
              <w:marBottom w:val="0"/>
              <w:divBdr>
                <w:top w:val="none" w:sz="0" w:space="0" w:color="auto"/>
                <w:left w:val="none" w:sz="0" w:space="0" w:color="auto"/>
                <w:bottom w:val="none" w:sz="0" w:space="0" w:color="auto"/>
                <w:right w:val="none" w:sz="0" w:space="0" w:color="auto"/>
              </w:divBdr>
            </w:div>
          </w:divsChild>
        </w:div>
        <w:div w:id="343167931">
          <w:marLeft w:val="0"/>
          <w:marRight w:val="0"/>
          <w:marTop w:val="0"/>
          <w:marBottom w:val="0"/>
          <w:divBdr>
            <w:top w:val="none" w:sz="0" w:space="0" w:color="auto"/>
            <w:left w:val="none" w:sz="0" w:space="0" w:color="auto"/>
            <w:bottom w:val="none" w:sz="0" w:space="0" w:color="auto"/>
            <w:right w:val="none" w:sz="0" w:space="0" w:color="auto"/>
          </w:divBdr>
          <w:divsChild>
            <w:div w:id="908417901">
              <w:marLeft w:val="0"/>
              <w:marRight w:val="0"/>
              <w:marTop w:val="0"/>
              <w:marBottom w:val="0"/>
              <w:divBdr>
                <w:top w:val="none" w:sz="0" w:space="0" w:color="auto"/>
                <w:left w:val="none" w:sz="0" w:space="0" w:color="auto"/>
                <w:bottom w:val="none" w:sz="0" w:space="0" w:color="auto"/>
                <w:right w:val="none" w:sz="0" w:space="0" w:color="auto"/>
              </w:divBdr>
            </w:div>
          </w:divsChild>
        </w:div>
        <w:div w:id="155079232">
          <w:marLeft w:val="0"/>
          <w:marRight w:val="0"/>
          <w:marTop w:val="0"/>
          <w:marBottom w:val="0"/>
          <w:divBdr>
            <w:top w:val="none" w:sz="0" w:space="0" w:color="auto"/>
            <w:left w:val="none" w:sz="0" w:space="0" w:color="auto"/>
            <w:bottom w:val="none" w:sz="0" w:space="0" w:color="auto"/>
            <w:right w:val="none" w:sz="0" w:space="0" w:color="auto"/>
          </w:divBdr>
          <w:divsChild>
            <w:div w:id="1450706194">
              <w:marLeft w:val="0"/>
              <w:marRight w:val="0"/>
              <w:marTop w:val="0"/>
              <w:marBottom w:val="0"/>
              <w:divBdr>
                <w:top w:val="none" w:sz="0" w:space="0" w:color="auto"/>
                <w:left w:val="none" w:sz="0" w:space="0" w:color="auto"/>
                <w:bottom w:val="none" w:sz="0" w:space="0" w:color="auto"/>
                <w:right w:val="none" w:sz="0" w:space="0" w:color="auto"/>
              </w:divBdr>
            </w:div>
          </w:divsChild>
        </w:div>
        <w:div w:id="1605922080">
          <w:marLeft w:val="0"/>
          <w:marRight w:val="0"/>
          <w:marTop w:val="0"/>
          <w:marBottom w:val="0"/>
          <w:divBdr>
            <w:top w:val="none" w:sz="0" w:space="0" w:color="auto"/>
            <w:left w:val="none" w:sz="0" w:space="0" w:color="auto"/>
            <w:bottom w:val="none" w:sz="0" w:space="0" w:color="auto"/>
            <w:right w:val="none" w:sz="0" w:space="0" w:color="auto"/>
          </w:divBdr>
          <w:divsChild>
            <w:div w:id="29426474">
              <w:marLeft w:val="0"/>
              <w:marRight w:val="0"/>
              <w:marTop w:val="0"/>
              <w:marBottom w:val="0"/>
              <w:divBdr>
                <w:top w:val="none" w:sz="0" w:space="0" w:color="auto"/>
                <w:left w:val="none" w:sz="0" w:space="0" w:color="auto"/>
                <w:bottom w:val="none" w:sz="0" w:space="0" w:color="auto"/>
                <w:right w:val="none" w:sz="0" w:space="0" w:color="auto"/>
              </w:divBdr>
            </w:div>
          </w:divsChild>
        </w:div>
        <w:div w:id="1430808642">
          <w:marLeft w:val="0"/>
          <w:marRight w:val="0"/>
          <w:marTop w:val="0"/>
          <w:marBottom w:val="0"/>
          <w:divBdr>
            <w:top w:val="none" w:sz="0" w:space="0" w:color="auto"/>
            <w:left w:val="none" w:sz="0" w:space="0" w:color="auto"/>
            <w:bottom w:val="none" w:sz="0" w:space="0" w:color="auto"/>
            <w:right w:val="none" w:sz="0" w:space="0" w:color="auto"/>
          </w:divBdr>
          <w:divsChild>
            <w:div w:id="417601496">
              <w:marLeft w:val="0"/>
              <w:marRight w:val="0"/>
              <w:marTop w:val="0"/>
              <w:marBottom w:val="0"/>
              <w:divBdr>
                <w:top w:val="none" w:sz="0" w:space="0" w:color="auto"/>
                <w:left w:val="none" w:sz="0" w:space="0" w:color="auto"/>
                <w:bottom w:val="none" w:sz="0" w:space="0" w:color="auto"/>
                <w:right w:val="none" w:sz="0" w:space="0" w:color="auto"/>
              </w:divBdr>
            </w:div>
          </w:divsChild>
        </w:div>
        <w:div w:id="566380624">
          <w:marLeft w:val="0"/>
          <w:marRight w:val="0"/>
          <w:marTop w:val="0"/>
          <w:marBottom w:val="0"/>
          <w:divBdr>
            <w:top w:val="none" w:sz="0" w:space="0" w:color="auto"/>
            <w:left w:val="none" w:sz="0" w:space="0" w:color="auto"/>
            <w:bottom w:val="none" w:sz="0" w:space="0" w:color="auto"/>
            <w:right w:val="none" w:sz="0" w:space="0" w:color="auto"/>
          </w:divBdr>
          <w:divsChild>
            <w:div w:id="1279675515">
              <w:marLeft w:val="0"/>
              <w:marRight w:val="0"/>
              <w:marTop w:val="0"/>
              <w:marBottom w:val="0"/>
              <w:divBdr>
                <w:top w:val="none" w:sz="0" w:space="0" w:color="auto"/>
                <w:left w:val="none" w:sz="0" w:space="0" w:color="auto"/>
                <w:bottom w:val="none" w:sz="0" w:space="0" w:color="auto"/>
                <w:right w:val="none" w:sz="0" w:space="0" w:color="auto"/>
              </w:divBdr>
            </w:div>
          </w:divsChild>
        </w:div>
        <w:div w:id="612442769">
          <w:marLeft w:val="0"/>
          <w:marRight w:val="0"/>
          <w:marTop w:val="0"/>
          <w:marBottom w:val="0"/>
          <w:divBdr>
            <w:top w:val="none" w:sz="0" w:space="0" w:color="auto"/>
            <w:left w:val="none" w:sz="0" w:space="0" w:color="auto"/>
            <w:bottom w:val="none" w:sz="0" w:space="0" w:color="auto"/>
            <w:right w:val="none" w:sz="0" w:space="0" w:color="auto"/>
          </w:divBdr>
          <w:divsChild>
            <w:div w:id="1372268467">
              <w:marLeft w:val="0"/>
              <w:marRight w:val="0"/>
              <w:marTop w:val="0"/>
              <w:marBottom w:val="0"/>
              <w:divBdr>
                <w:top w:val="none" w:sz="0" w:space="0" w:color="auto"/>
                <w:left w:val="none" w:sz="0" w:space="0" w:color="auto"/>
                <w:bottom w:val="none" w:sz="0" w:space="0" w:color="auto"/>
                <w:right w:val="none" w:sz="0" w:space="0" w:color="auto"/>
              </w:divBdr>
            </w:div>
          </w:divsChild>
        </w:div>
        <w:div w:id="1469661106">
          <w:marLeft w:val="0"/>
          <w:marRight w:val="0"/>
          <w:marTop w:val="0"/>
          <w:marBottom w:val="0"/>
          <w:divBdr>
            <w:top w:val="none" w:sz="0" w:space="0" w:color="auto"/>
            <w:left w:val="none" w:sz="0" w:space="0" w:color="auto"/>
            <w:bottom w:val="none" w:sz="0" w:space="0" w:color="auto"/>
            <w:right w:val="none" w:sz="0" w:space="0" w:color="auto"/>
          </w:divBdr>
          <w:divsChild>
            <w:div w:id="364717958">
              <w:marLeft w:val="0"/>
              <w:marRight w:val="0"/>
              <w:marTop w:val="0"/>
              <w:marBottom w:val="0"/>
              <w:divBdr>
                <w:top w:val="none" w:sz="0" w:space="0" w:color="auto"/>
                <w:left w:val="none" w:sz="0" w:space="0" w:color="auto"/>
                <w:bottom w:val="none" w:sz="0" w:space="0" w:color="auto"/>
                <w:right w:val="none" w:sz="0" w:space="0" w:color="auto"/>
              </w:divBdr>
            </w:div>
          </w:divsChild>
        </w:div>
        <w:div w:id="1130824663">
          <w:marLeft w:val="0"/>
          <w:marRight w:val="0"/>
          <w:marTop w:val="0"/>
          <w:marBottom w:val="0"/>
          <w:divBdr>
            <w:top w:val="none" w:sz="0" w:space="0" w:color="auto"/>
            <w:left w:val="none" w:sz="0" w:space="0" w:color="auto"/>
            <w:bottom w:val="none" w:sz="0" w:space="0" w:color="auto"/>
            <w:right w:val="none" w:sz="0" w:space="0" w:color="auto"/>
          </w:divBdr>
          <w:divsChild>
            <w:div w:id="538708868">
              <w:marLeft w:val="0"/>
              <w:marRight w:val="0"/>
              <w:marTop w:val="0"/>
              <w:marBottom w:val="0"/>
              <w:divBdr>
                <w:top w:val="none" w:sz="0" w:space="0" w:color="auto"/>
                <w:left w:val="none" w:sz="0" w:space="0" w:color="auto"/>
                <w:bottom w:val="none" w:sz="0" w:space="0" w:color="auto"/>
                <w:right w:val="none" w:sz="0" w:space="0" w:color="auto"/>
              </w:divBdr>
            </w:div>
          </w:divsChild>
        </w:div>
        <w:div w:id="1971394175">
          <w:marLeft w:val="0"/>
          <w:marRight w:val="0"/>
          <w:marTop w:val="0"/>
          <w:marBottom w:val="0"/>
          <w:divBdr>
            <w:top w:val="none" w:sz="0" w:space="0" w:color="auto"/>
            <w:left w:val="none" w:sz="0" w:space="0" w:color="auto"/>
            <w:bottom w:val="none" w:sz="0" w:space="0" w:color="auto"/>
            <w:right w:val="none" w:sz="0" w:space="0" w:color="auto"/>
          </w:divBdr>
          <w:divsChild>
            <w:div w:id="1226794144">
              <w:marLeft w:val="0"/>
              <w:marRight w:val="0"/>
              <w:marTop w:val="0"/>
              <w:marBottom w:val="0"/>
              <w:divBdr>
                <w:top w:val="none" w:sz="0" w:space="0" w:color="auto"/>
                <w:left w:val="none" w:sz="0" w:space="0" w:color="auto"/>
                <w:bottom w:val="none" w:sz="0" w:space="0" w:color="auto"/>
                <w:right w:val="none" w:sz="0" w:space="0" w:color="auto"/>
              </w:divBdr>
            </w:div>
          </w:divsChild>
        </w:div>
        <w:div w:id="1584602922">
          <w:marLeft w:val="0"/>
          <w:marRight w:val="0"/>
          <w:marTop w:val="0"/>
          <w:marBottom w:val="0"/>
          <w:divBdr>
            <w:top w:val="none" w:sz="0" w:space="0" w:color="auto"/>
            <w:left w:val="none" w:sz="0" w:space="0" w:color="auto"/>
            <w:bottom w:val="none" w:sz="0" w:space="0" w:color="auto"/>
            <w:right w:val="none" w:sz="0" w:space="0" w:color="auto"/>
          </w:divBdr>
          <w:divsChild>
            <w:div w:id="431821301">
              <w:marLeft w:val="0"/>
              <w:marRight w:val="0"/>
              <w:marTop w:val="0"/>
              <w:marBottom w:val="0"/>
              <w:divBdr>
                <w:top w:val="none" w:sz="0" w:space="0" w:color="auto"/>
                <w:left w:val="none" w:sz="0" w:space="0" w:color="auto"/>
                <w:bottom w:val="none" w:sz="0" w:space="0" w:color="auto"/>
                <w:right w:val="none" w:sz="0" w:space="0" w:color="auto"/>
              </w:divBdr>
            </w:div>
          </w:divsChild>
        </w:div>
        <w:div w:id="1960142127">
          <w:marLeft w:val="0"/>
          <w:marRight w:val="0"/>
          <w:marTop w:val="0"/>
          <w:marBottom w:val="0"/>
          <w:divBdr>
            <w:top w:val="none" w:sz="0" w:space="0" w:color="auto"/>
            <w:left w:val="none" w:sz="0" w:space="0" w:color="auto"/>
            <w:bottom w:val="none" w:sz="0" w:space="0" w:color="auto"/>
            <w:right w:val="none" w:sz="0" w:space="0" w:color="auto"/>
          </w:divBdr>
          <w:divsChild>
            <w:div w:id="339770740">
              <w:marLeft w:val="0"/>
              <w:marRight w:val="0"/>
              <w:marTop w:val="0"/>
              <w:marBottom w:val="0"/>
              <w:divBdr>
                <w:top w:val="none" w:sz="0" w:space="0" w:color="auto"/>
                <w:left w:val="none" w:sz="0" w:space="0" w:color="auto"/>
                <w:bottom w:val="none" w:sz="0" w:space="0" w:color="auto"/>
                <w:right w:val="none" w:sz="0" w:space="0" w:color="auto"/>
              </w:divBdr>
            </w:div>
          </w:divsChild>
        </w:div>
        <w:div w:id="968630078">
          <w:marLeft w:val="0"/>
          <w:marRight w:val="0"/>
          <w:marTop w:val="0"/>
          <w:marBottom w:val="0"/>
          <w:divBdr>
            <w:top w:val="none" w:sz="0" w:space="0" w:color="auto"/>
            <w:left w:val="none" w:sz="0" w:space="0" w:color="auto"/>
            <w:bottom w:val="none" w:sz="0" w:space="0" w:color="auto"/>
            <w:right w:val="none" w:sz="0" w:space="0" w:color="auto"/>
          </w:divBdr>
          <w:divsChild>
            <w:div w:id="1422607666">
              <w:marLeft w:val="0"/>
              <w:marRight w:val="0"/>
              <w:marTop w:val="0"/>
              <w:marBottom w:val="0"/>
              <w:divBdr>
                <w:top w:val="none" w:sz="0" w:space="0" w:color="auto"/>
                <w:left w:val="none" w:sz="0" w:space="0" w:color="auto"/>
                <w:bottom w:val="none" w:sz="0" w:space="0" w:color="auto"/>
                <w:right w:val="none" w:sz="0" w:space="0" w:color="auto"/>
              </w:divBdr>
            </w:div>
          </w:divsChild>
        </w:div>
        <w:div w:id="429472686">
          <w:marLeft w:val="0"/>
          <w:marRight w:val="0"/>
          <w:marTop w:val="0"/>
          <w:marBottom w:val="0"/>
          <w:divBdr>
            <w:top w:val="none" w:sz="0" w:space="0" w:color="auto"/>
            <w:left w:val="none" w:sz="0" w:space="0" w:color="auto"/>
            <w:bottom w:val="none" w:sz="0" w:space="0" w:color="auto"/>
            <w:right w:val="none" w:sz="0" w:space="0" w:color="auto"/>
          </w:divBdr>
          <w:divsChild>
            <w:div w:id="30331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83661037">
      <w:bodyDiv w:val="1"/>
      <w:marLeft w:val="0"/>
      <w:marRight w:val="0"/>
      <w:marTop w:val="0"/>
      <w:marBottom w:val="0"/>
      <w:divBdr>
        <w:top w:val="none" w:sz="0" w:space="0" w:color="auto"/>
        <w:left w:val="none" w:sz="0" w:space="0" w:color="auto"/>
        <w:bottom w:val="none" w:sz="0" w:space="0" w:color="auto"/>
        <w:right w:val="none" w:sz="0" w:space="0" w:color="auto"/>
      </w:divBdr>
      <w:divsChild>
        <w:div w:id="1898930353">
          <w:marLeft w:val="0"/>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7048003">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9646746">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069356">
      <w:bodyDiv w:val="1"/>
      <w:marLeft w:val="0"/>
      <w:marRight w:val="0"/>
      <w:marTop w:val="0"/>
      <w:marBottom w:val="0"/>
      <w:divBdr>
        <w:top w:val="none" w:sz="0" w:space="0" w:color="auto"/>
        <w:left w:val="none" w:sz="0" w:space="0" w:color="auto"/>
        <w:bottom w:val="none" w:sz="0" w:space="0" w:color="auto"/>
        <w:right w:val="none" w:sz="0" w:space="0" w:color="auto"/>
      </w:divBdr>
      <w:divsChild>
        <w:div w:id="49035147">
          <w:marLeft w:val="0"/>
          <w:marRight w:val="0"/>
          <w:marTop w:val="0"/>
          <w:marBottom w:val="0"/>
          <w:divBdr>
            <w:top w:val="none" w:sz="0" w:space="0" w:color="auto"/>
            <w:left w:val="none" w:sz="0" w:space="0" w:color="auto"/>
            <w:bottom w:val="none" w:sz="0" w:space="0" w:color="auto"/>
            <w:right w:val="none" w:sz="0" w:space="0" w:color="auto"/>
          </w:divBdr>
          <w:divsChild>
            <w:div w:id="656420941">
              <w:marLeft w:val="0"/>
              <w:marRight w:val="0"/>
              <w:marTop w:val="0"/>
              <w:marBottom w:val="0"/>
              <w:divBdr>
                <w:top w:val="none" w:sz="0" w:space="0" w:color="auto"/>
                <w:left w:val="none" w:sz="0" w:space="0" w:color="auto"/>
                <w:bottom w:val="none" w:sz="0" w:space="0" w:color="auto"/>
                <w:right w:val="none" w:sz="0" w:space="0" w:color="auto"/>
              </w:divBdr>
            </w:div>
          </w:divsChild>
        </w:div>
        <w:div w:id="1812864599">
          <w:marLeft w:val="0"/>
          <w:marRight w:val="0"/>
          <w:marTop w:val="0"/>
          <w:marBottom w:val="0"/>
          <w:divBdr>
            <w:top w:val="none" w:sz="0" w:space="0" w:color="auto"/>
            <w:left w:val="none" w:sz="0" w:space="0" w:color="auto"/>
            <w:bottom w:val="none" w:sz="0" w:space="0" w:color="auto"/>
            <w:right w:val="none" w:sz="0" w:space="0" w:color="auto"/>
          </w:divBdr>
          <w:divsChild>
            <w:div w:id="1649894363">
              <w:marLeft w:val="0"/>
              <w:marRight w:val="0"/>
              <w:marTop w:val="0"/>
              <w:marBottom w:val="0"/>
              <w:divBdr>
                <w:top w:val="none" w:sz="0" w:space="0" w:color="auto"/>
                <w:left w:val="none" w:sz="0" w:space="0" w:color="auto"/>
                <w:bottom w:val="none" w:sz="0" w:space="0" w:color="auto"/>
                <w:right w:val="none" w:sz="0" w:space="0" w:color="auto"/>
              </w:divBdr>
            </w:div>
          </w:divsChild>
        </w:div>
        <w:div w:id="1991248467">
          <w:marLeft w:val="0"/>
          <w:marRight w:val="0"/>
          <w:marTop w:val="0"/>
          <w:marBottom w:val="0"/>
          <w:divBdr>
            <w:top w:val="none" w:sz="0" w:space="0" w:color="auto"/>
            <w:left w:val="none" w:sz="0" w:space="0" w:color="auto"/>
            <w:bottom w:val="none" w:sz="0" w:space="0" w:color="auto"/>
            <w:right w:val="none" w:sz="0" w:space="0" w:color="auto"/>
          </w:divBdr>
          <w:divsChild>
            <w:div w:id="2121756269">
              <w:marLeft w:val="0"/>
              <w:marRight w:val="0"/>
              <w:marTop w:val="0"/>
              <w:marBottom w:val="0"/>
              <w:divBdr>
                <w:top w:val="none" w:sz="0" w:space="0" w:color="auto"/>
                <w:left w:val="none" w:sz="0" w:space="0" w:color="auto"/>
                <w:bottom w:val="none" w:sz="0" w:space="0" w:color="auto"/>
                <w:right w:val="none" w:sz="0" w:space="0" w:color="auto"/>
              </w:divBdr>
            </w:div>
          </w:divsChild>
        </w:div>
        <w:div w:id="1091779372">
          <w:marLeft w:val="0"/>
          <w:marRight w:val="0"/>
          <w:marTop w:val="0"/>
          <w:marBottom w:val="0"/>
          <w:divBdr>
            <w:top w:val="none" w:sz="0" w:space="0" w:color="auto"/>
            <w:left w:val="none" w:sz="0" w:space="0" w:color="auto"/>
            <w:bottom w:val="none" w:sz="0" w:space="0" w:color="auto"/>
            <w:right w:val="none" w:sz="0" w:space="0" w:color="auto"/>
          </w:divBdr>
          <w:divsChild>
            <w:div w:id="408772309">
              <w:marLeft w:val="0"/>
              <w:marRight w:val="0"/>
              <w:marTop w:val="0"/>
              <w:marBottom w:val="0"/>
              <w:divBdr>
                <w:top w:val="none" w:sz="0" w:space="0" w:color="auto"/>
                <w:left w:val="none" w:sz="0" w:space="0" w:color="auto"/>
                <w:bottom w:val="none" w:sz="0" w:space="0" w:color="auto"/>
                <w:right w:val="none" w:sz="0" w:space="0" w:color="auto"/>
              </w:divBdr>
            </w:div>
          </w:divsChild>
        </w:div>
        <w:div w:id="983317845">
          <w:marLeft w:val="0"/>
          <w:marRight w:val="0"/>
          <w:marTop w:val="0"/>
          <w:marBottom w:val="0"/>
          <w:divBdr>
            <w:top w:val="none" w:sz="0" w:space="0" w:color="auto"/>
            <w:left w:val="none" w:sz="0" w:space="0" w:color="auto"/>
            <w:bottom w:val="none" w:sz="0" w:space="0" w:color="auto"/>
            <w:right w:val="none" w:sz="0" w:space="0" w:color="auto"/>
          </w:divBdr>
          <w:divsChild>
            <w:div w:id="299573168">
              <w:marLeft w:val="0"/>
              <w:marRight w:val="0"/>
              <w:marTop w:val="0"/>
              <w:marBottom w:val="0"/>
              <w:divBdr>
                <w:top w:val="none" w:sz="0" w:space="0" w:color="auto"/>
                <w:left w:val="none" w:sz="0" w:space="0" w:color="auto"/>
                <w:bottom w:val="none" w:sz="0" w:space="0" w:color="auto"/>
                <w:right w:val="none" w:sz="0" w:space="0" w:color="auto"/>
              </w:divBdr>
            </w:div>
          </w:divsChild>
        </w:div>
        <w:div w:id="1644920703">
          <w:marLeft w:val="0"/>
          <w:marRight w:val="0"/>
          <w:marTop w:val="0"/>
          <w:marBottom w:val="0"/>
          <w:divBdr>
            <w:top w:val="none" w:sz="0" w:space="0" w:color="auto"/>
            <w:left w:val="none" w:sz="0" w:space="0" w:color="auto"/>
            <w:bottom w:val="none" w:sz="0" w:space="0" w:color="auto"/>
            <w:right w:val="none" w:sz="0" w:space="0" w:color="auto"/>
          </w:divBdr>
          <w:divsChild>
            <w:div w:id="1974364983">
              <w:marLeft w:val="0"/>
              <w:marRight w:val="0"/>
              <w:marTop w:val="0"/>
              <w:marBottom w:val="0"/>
              <w:divBdr>
                <w:top w:val="none" w:sz="0" w:space="0" w:color="auto"/>
                <w:left w:val="none" w:sz="0" w:space="0" w:color="auto"/>
                <w:bottom w:val="none" w:sz="0" w:space="0" w:color="auto"/>
                <w:right w:val="none" w:sz="0" w:space="0" w:color="auto"/>
              </w:divBdr>
            </w:div>
            <w:div w:id="1443262871">
              <w:marLeft w:val="0"/>
              <w:marRight w:val="0"/>
              <w:marTop w:val="0"/>
              <w:marBottom w:val="0"/>
              <w:divBdr>
                <w:top w:val="none" w:sz="0" w:space="0" w:color="auto"/>
                <w:left w:val="none" w:sz="0" w:space="0" w:color="auto"/>
                <w:bottom w:val="none" w:sz="0" w:space="0" w:color="auto"/>
                <w:right w:val="none" w:sz="0" w:space="0" w:color="auto"/>
              </w:divBdr>
            </w:div>
          </w:divsChild>
        </w:div>
        <w:div w:id="1272085301">
          <w:marLeft w:val="0"/>
          <w:marRight w:val="0"/>
          <w:marTop w:val="0"/>
          <w:marBottom w:val="0"/>
          <w:divBdr>
            <w:top w:val="none" w:sz="0" w:space="0" w:color="auto"/>
            <w:left w:val="none" w:sz="0" w:space="0" w:color="auto"/>
            <w:bottom w:val="none" w:sz="0" w:space="0" w:color="auto"/>
            <w:right w:val="none" w:sz="0" w:space="0" w:color="auto"/>
          </w:divBdr>
          <w:divsChild>
            <w:div w:id="1704361394">
              <w:marLeft w:val="0"/>
              <w:marRight w:val="0"/>
              <w:marTop w:val="0"/>
              <w:marBottom w:val="0"/>
              <w:divBdr>
                <w:top w:val="none" w:sz="0" w:space="0" w:color="auto"/>
                <w:left w:val="none" w:sz="0" w:space="0" w:color="auto"/>
                <w:bottom w:val="none" w:sz="0" w:space="0" w:color="auto"/>
                <w:right w:val="none" w:sz="0" w:space="0" w:color="auto"/>
              </w:divBdr>
            </w:div>
          </w:divsChild>
        </w:div>
        <w:div w:id="1005937929">
          <w:marLeft w:val="0"/>
          <w:marRight w:val="0"/>
          <w:marTop w:val="0"/>
          <w:marBottom w:val="0"/>
          <w:divBdr>
            <w:top w:val="none" w:sz="0" w:space="0" w:color="auto"/>
            <w:left w:val="none" w:sz="0" w:space="0" w:color="auto"/>
            <w:bottom w:val="none" w:sz="0" w:space="0" w:color="auto"/>
            <w:right w:val="none" w:sz="0" w:space="0" w:color="auto"/>
          </w:divBdr>
          <w:divsChild>
            <w:div w:id="1457143343">
              <w:marLeft w:val="0"/>
              <w:marRight w:val="0"/>
              <w:marTop w:val="0"/>
              <w:marBottom w:val="0"/>
              <w:divBdr>
                <w:top w:val="none" w:sz="0" w:space="0" w:color="auto"/>
                <w:left w:val="none" w:sz="0" w:space="0" w:color="auto"/>
                <w:bottom w:val="none" w:sz="0" w:space="0" w:color="auto"/>
                <w:right w:val="none" w:sz="0" w:space="0" w:color="auto"/>
              </w:divBdr>
            </w:div>
          </w:divsChild>
        </w:div>
        <w:div w:id="1526598222">
          <w:marLeft w:val="0"/>
          <w:marRight w:val="0"/>
          <w:marTop w:val="0"/>
          <w:marBottom w:val="0"/>
          <w:divBdr>
            <w:top w:val="none" w:sz="0" w:space="0" w:color="auto"/>
            <w:left w:val="none" w:sz="0" w:space="0" w:color="auto"/>
            <w:bottom w:val="none" w:sz="0" w:space="0" w:color="auto"/>
            <w:right w:val="none" w:sz="0" w:space="0" w:color="auto"/>
          </w:divBdr>
          <w:divsChild>
            <w:div w:id="729114307">
              <w:marLeft w:val="0"/>
              <w:marRight w:val="0"/>
              <w:marTop w:val="0"/>
              <w:marBottom w:val="0"/>
              <w:divBdr>
                <w:top w:val="none" w:sz="0" w:space="0" w:color="auto"/>
                <w:left w:val="none" w:sz="0" w:space="0" w:color="auto"/>
                <w:bottom w:val="none" w:sz="0" w:space="0" w:color="auto"/>
                <w:right w:val="none" w:sz="0" w:space="0" w:color="auto"/>
              </w:divBdr>
            </w:div>
          </w:divsChild>
        </w:div>
        <w:div w:id="2707803">
          <w:marLeft w:val="0"/>
          <w:marRight w:val="0"/>
          <w:marTop w:val="0"/>
          <w:marBottom w:val="0"/>
          <w:divBdr>
            <w:top w:val="none" w:sz="0" w:space="0" w:color="auto"/>
            <w:left w:val="none" w:sz="0" w:space="0" w:color="auto"/>
            <w:bottom w:val="none" w:sz="0" w:space="0" w:color="auto"/>
            <w:right w:val="none" w:sz="0" w:space="0" w:color="auto"/>
          </w:divBdr>
          <w:divsChild>
            <w:div w:id="1720548724">
              <w:marLeft w:val="0"/>
              <w:marRight w:val="0"/>
              <w:marTop w:val="0"/>
              <w:marBottom w:val="0"/>
              <w:divBdr>
                <w:top w:val="none" w:sz="0" w:space="0" w:color="auto"/>
                <w:left w:val="none" w:sz="0" w:space="0" w:color="auto"/>
                <w:bottom w:val="none" w:sz="0" w:space="0" w:color="auto"/>
                <w:right w:val="none" w:sz="0" w:space="0" w:color="auto"/>
              </w:divBdr>
            </w:div>
          </w:divsChild>
        </w:div>
        <w:div w:id="109327062">
          <w:marLeft w:val="0"/>
          <w:marRight w:val="0"/>
          <w:marTop w:val="0"/>
          <w:marBottom w:val="0"/>
          <w:divBdr>
            <w:top w:val="none" w:sz="0" w:space="0" w:color="auto"/>
            <w:left w:val="none" w:sz="0" w:space="0" w:color="auto"/>
            <w:bottom w:val="none" w:sz="0" w:space="0" w:color="auto"/>
            <w:right w:val="none" w:sz="0" w:space="0" w:color="auto"/>
          </w:divBdr>
          <w:divsChild>
            <w:div w:id="747851718">
              <w:marLeft w:val="0"/>
              <w:marRight w:val="0"/>
              <w:marTop w:val="0"/>
              <w:marBottom w:val="0"/>
              <w:divBdr>
                <w:top w:val="none" w:sz="0" w:space="0" w:color="auto"/>
                <w:left w:val="none" w:sz="0" w:space="0" w:color="auto"/>
                <w:bottom w:val="none" w:sz="0" w:space="0" w:color="auto"/>
                <w:right w:val="none" w:sz="0" w:space="0" w:color="auto"/>
              </w:divBdr>
            </w:div>
          </w:divsChild>
        </w:div>
        <w:div w:id="1586842390">
          <w:marLeft w:val="0"/>
          <w:marRight w:val="0"/>
          <w:marTop w:val="0"/>
          <w:marBottom w:val="0"/>
          <w:divBdr>
            <w:top w:val="none" w:sz="0" w:space="0" w:color="auto"/>
            <w:left w:val="none" w:sz="0" w:space="0" w:color="auto"/>
            <w:bottom w:val="none" w:sz="0" w:space="0" w:color="auto"/>
            <w:right w:val="none" w:sz="0" w:space="0" w:color="auto"/>
          </w:divBdr>
          <w:divsChild>
            <w:div w:id="1614900257">
              <w:marLeft w:val="0"/>
              <w:marRight w:val="0"/>
              <w:marTop w:val="0"/>
              <w:marBottom w:val="0"/>
              <w:divBdr>
                <w:top w:val="none" w:sz="0" w:space="0" w:color="auto"/>
                <w:left w:val="none" w:sz="0" w:space="0" w:color="auto"/>
                <w:bottom w:val="none" w:sz="0" w:space="0" w:color="auto"/>
                <w:right w:val="none" w:sz="0" w:space="0" w:color="auto"/>
              </w:divBdr>
            </w:div>
          </w:divsChild>
        </w:div>
        <w:div w:id="11415347">
          <w:marLeft w:val="0"/>
          <w:marRight w:val="0"/>
          <w:marTop w:val="0"/>
          <w:marBottom w:val="0"/>
          <w:divBdr>
            <w:top w:val="none" w:sz="0" w:space="0" w:color="auto"/>
            <w:left w:val="none" w:sz="0" w:space="0" w:color="auto"/>
            <w:bottom w:val="none" w:sz="0" w:space="0" w:color="auto"/>
            <w:right w:val="none" w:sz="0" w:space="0" w:color="auto"/>
          </w:divBdr>
          <w:divsChild>
            <w:div w:id="444158324">
              <w:marLeft w:val="0"/>
              <w:marRight w:val="0"/>
              <w:marTop w:val="0"/>
              <w:marBottom w:val="0"/>
              <w:divBdr>
                <w:top w:val="none" w:sz="0" w:space="0" w:color="auto"/>
                <w:left w:val="none" w:sz="0" w:space="0" w:color="auto"/>
                <w:bottom w:val="none" w:sz="0" w:space="0" w:color="auto"/>
                <w:right w:val="none" w:sz="0" w:space="0" w:color="auto"/>
              </w:divBdr>
            </w:div>
          </w:divsChild>
        </w:div>
        <w:div w:id="1583484491">
          <w:marLeft w:val="0"/>
          <w:marRight w:val="0"/>
          <w:marTop w:val="0"/>
          <w:marBottom w:val="0"/>
          <w:divBdr>
            <w:top w:val="none" w:sz="0" w:space="0" w:color="auto"/>
            <w:left w:val="none" w:sz="0" w:space="0" w:color="auto"/>
            <w:bottom w:val="none" w:sz="0" w:space="0" w:color="auto"/>
            <w:right w:val="none" w:sz="0" w:space="0" w:color="auto"/>
          </w:divBdr>
          <w:divsChild>
            <w:div w:id="1314993725">
              <w:marLeft w:val="0"/>
              <w:marRight w:val="0"/>
              <w:marTop w:val="0"/>
              <w:marBottom w:val="0"/>
              <w:divBdr>
                <w:top w:val="none" w:sz="0" w:space="0" w:color="auto"/>
                <w:left w:val="none" w:sz="0" w:space="0" w:color="auto"/>
                <w:bottom w:val="none" w:sz="0" w:space="0" w:color="auto"/>
                <w:right w:val="none" w:sz="0" w:space="0" w:color="auto"/>
              </w:divBdr>
            </w:div>
          </w:divsChild>
        </w:div>
        <w:div w:id="1067805209">
          <w:marLeft w:val="0"/>
          <w:marRight w:val="0"/>
          <w:marTop w:val="0"/>
          <w:marBottom w:val="0"/>
          <w:divBdr>
            <w:top w:val="none" w:sz="0" w:space="0" w:color="auto"/>
            <w:left w:val="none" w:sz="0" w:space="0" w:color="auto"/>
            <w:bottom w:val="none" w:sz="0" w:space="0" w:color="auto"/>
            <w:right w:val="none" w:sz="0" w:space="0" w:color="auto"/>
          </w:divBdr>
          <w:divsChild>
            <w:div w:id="1435857316">
              <w:marLeft w:val="0"/>
              <w:marRight w:val="0"/>
              <w:marTop w:val="0"/>
              <w:marBottom w:val="0"/>
              <w:divBdr>
                <w:top w:val="none" w:sz="0" w:space="0" w:color="auto"/>
                <w:left w:val="none" w:sz="0" w:space="0" w:color="auto"/>
                <w:bottom w:val="none" w:sz="0" w:space="0" w:color="auto"/>
                <w:right w:val="none" w:sz="0" w:space="0" w:color="auto"/>
              </w:divBdr>
            </w:div>
          </w:divsChild>
        </w:div>
        <w:div w:id="979533387">
          <w:marLeft w:val="0"/>
          <w:marRight w:val="0"/>
          <w:marTop w:val="0"/>
          <w:marBottom w:val="0"/>
          <w:divBdr>
            <w:top w:val="none" w:sz="0" w:space="0" w:color="auto"/>
            <w:left w:val="none" w:sz="0" w:space="0" w:color="auto"/>
            <w:bottom w:val="none" w:sz="0" w:space="0" w:color="auto"/>
            <w:right w:val="none" w:sz="0" w:space="0" w:color="auto"/>
          </w:divBdr>
          <w:divsChild>
            <w:div w:id="180978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22233203">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4028329">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045946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3723292">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39809124">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6992931">
      <w:bodyDiv w:val="1"/>
      <w:marLeft w:val="0"/>
      <w:marRight w:val="0"/>
      <w:marTop w:val="0"/>
      <w:marBottom w:val="0"/>
      <w:divBdr>
        <w:top w:val="none" w:sz="0" w:space="0" w:color="auto"/>
        <w:left w:val="none" w:sz="0" w:space="0" w:color="auto"/>
        <w:bottom w:val="none" w:sz="0" w:space="0" w:color="auto"/>
        <w:right w:val="none" w:sz="0" w:space="0" w:color="auto"/>
      </w:divBdr>
      <w:divsChild>
        <w:div w:id="514227992">
          <w:marLeft w:val="0"/>
          <w:marRight w:val="0"/>
          <w:marTop w:val="0"/>
          <w:marBottom w:val="0"/>
          <w:divBdr>
            <w:top w:val="none" w:sz="0" w:space="0" w:color="auto"/>
            <w:left w:val="none" w:sz="0" w:space="0" w:color="auto"/>
            <w:bottom w:val="none" w:sz="0" w:space="0" w:color="auto"/>
            <w:right w:val="none" w:sz="0" w:space="0" w:color="auto"/>
          </w:divBdr>
        </w:div>
        <w:div w:id="240792145">
          <w:marLeft w:val="0"/>
          <w:marRight w:val="0"/>
          <w:marTop w:val="0"/>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9199216">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467723">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533108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763163">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147036">
      <w:bodyDiv w:val="1"/>
      <w:marLeft w:val="0"/>
      <w:marRight w:val="0"/>
      <w:marTop w:val="0"/>
      <w:marBottom w:val="0"/>
      <w:divBdr>
        <w:top w:val="none" w:sz="0" w:space="0" w:color="auto"/>
        <w:left w:val="none" w:sz="0" w:space="0" w:color="auto"/>
        <w:bottom w:val="none" w:sz="0" w:space="0" w:color="auto"/>
        <w:right w:val="none" w:sz="0" w:space="0" w:color="auto"/>
      </w:divBdr>
      <w:divsChild>
        <w:div w:id="1943222802">
          <w:marLeft w:val="0"/>
          <w:marRight w:val="0"/>
          <w:marTop w:val="0"/>
          <w:marBottom w:val="0"/>
          <w:divBdr>
            <w:top w:val="none" w:sz="0" w:space="0" w:color="auto"/>
            <w:left w:val="none" w:sz="0" w:space="0" w:color="auto"/>
            <w:bottom w:val="none" w:sz="0" w:space="0" w:color="auto"/>
            <w:right w:val="none" w:sz="0" w:space="0" w:color="auto"/>
          </w:divBdr>
          <w:divsChild>
            <w:div w:id="1202472564">
              <w:marLeft w:val="0"/>
              <w:marRight w:val="0"/>
              <w:marTop w:val="0"/>
              <w:marBottom w:val="0"/>
              <w:divBdr>
                <w:top w:val="none" w:sz="0" w:space="0" w:color="auto"/>
                <w:left w:val="none" w:sz="0" w:space="0" w:color="auto"/>
                <w:bottom w:val="none" w:sz="0" w:space="0" w:color="auto"/>
                <w:right w:val="none" w:sz="0" w:space="0" w:color="auto"/>
              </w:divBdr>
            </w:div>
          </w:divsChild>
        </w:div>
        <w:div w:id="1882204565">
          <w:marLeft w:val="0"/>
          <w:marRight w:val="0"/>
          <w:marTop w:val="0"/>
          <w:marBottom w:val="0"/>
          <w:divBdr>
            <w:top w:val="none" w:sz="0" w:space="0" w:color="auto"/>
            <w:left w:val="none" w:sz="0" w:space="0" w:color="auto"/>
            <w:bottom w:val="none" w:sz="0" w:space="0" w:color="auto"/>
            <w:right w:val="none" w:sz="0" w:space="0" w:color="auto"/>
          </w:divBdr>
          <w:divsChild>
            <w:div w:id="1254365432">
              <w:marLeft w:val="0"/>
              <w:marRight w:val="0"/>
              <w:marTop w:val="0"/>
              <w:marBottom w:val="0"/>
              <w:divBdr>
                <w:top w:val="none" w:sz="0" w:space="0" w:color="auto"/>
                <w:left w:val="none" w:sz="0" w:space="0" w:color="auto"/>
                <w:bottom w:val="none" w:sz="0" w:space="0" w:color="auto"/>
                <w:right w:val="none" w:sz="0" w:space="0" w:color="auto"/>
              </w:divBdr>
            </w:div>
          </w:divsChild>
        </w:div>
        <w:div w:id="37048239">
          <w:marLeft w:val="0"/>
          <w:marRight w:val="0"/>
          <w:marTop w:val="0"/>
          <w:marBottom w:val="0"/>
          <w:divBdr>
            <w:top w:val="none" w:sz="0" w:space="0" w:color="auto"/>
            <w:left w:val="none" w:sz="0" w:space="0" w:color="auto"/>
            <w:bottom w:val="none" w:sz="0" w:space="0" w:color="auto"/>
            <w:right w:val="none" w:sz="0" w:space="0" w:color="auto"/>
          </w:divBdr>
          <w:divsChild>
            <w:div w:id="1386903644">
              <w:marLeft w:val="0"/>
              <w:marRight w:val="0"/>
              <w:marTop w:val="0"/>
              <w:marBottom w:val="0"/>
              <w:divBdr>
                <w:top w:val="none" w:sz="0" w:space="0" w:color="auto"/>
                <w:left w:val="none" w:sz="0" w:space="0" w:color="auto"/>
                <w:bottom w:val="none" w:sz="0" w:space="0" w:color="auto"/>
                <w:right w:val="none" w:sz="0" w:space="0" w:color="auto"/>
              </w:divBdr>
            </w:div>
          </w:divsChild>
        </w:div>
        <w:div w:id="1508910571">
          <w:marLeft w:val="0"/>
          <w:marRight w:val="0"/>
          <w:marTop w:val="0"/>
          <w:marBottom w:val="0"/>
          <w:divBdr>
            <w:top w:val="none" w:sz="0" w:space="0" w:color="auto"/>
            <w:left w:val="none" w:sz="0" w:space="0" w:color="auto"/>
            <w:bottom w:val="none" w:sz="0" w:space="0" w:color="auto"/>
            <w:right w:val="none" w:sz="0" w:space="0" w:color="auto"/>
          </w:divBdr>
          <w:divsChild>
            <w:div w:id="243802940">
              <w:marLeft w:val="0"/>
              <w:marRight w:val="0"/>
              <w:marTop w:val="0"/>
              <w:marBottom w:val="0"/>
              <w:divBdr>
                <w:top w:val="none" w:sz="0" w:space="0" w:color="auto"/>
                <w:left w:val="none" w:sz="0" w:space="0" w:color="auto"/>
                <w:bottom w:val="none" w:sz="0" w:space="0" w:color="auto"/>
                <w:right w:val="none" w:sz="0" w:space="0" w:color="auto"/>
              </w:divBdr>
            </w:div>
          </w:divsChild>
        </w:div>
        <w:div w:id="1094665565">
          <w:marLeft w:val="0"/>
          <w:marRight w:val="0"/>
          <w:marTop w:val="0"/>
          <w:marBottom w:val="0"/>
          <w:divBdr>
            <w:top w:val="none" w:sz="0" w:space="0" w:color="auto"/>
            <w:left w:val="none" w:sz="0" w:space="0" w:color="auto"/>
            <w:bottom w:val="none" w:sz="0" w:space="0" w:color="auto"/>
            <w:right w:val="none" w:sz="0" w:space="0" w:color="auto"/>
          </w:divBdr>
          <w:divsChild>
            <w:div w:id="678700790">
              <w:marLeft w:val="0"/>
              <w:marRight w:val="0"/>
              <w:marTop w:val="0"/>
              <w:marBottom w:val="0"/>
              <w:divBdr>
                <w:top w:val="none" w:sz="0" w:space="0" w:color="auto"/>
                <w:left w:val="none" w:sz="0" w:space="0" w:color="auto"/>
                <w:bottom w:val="none" w:sz="0" w:space="0" w:color="auto"/>
                <w:right w:val="none" w:sz="0" w:space="0" w:color="auto"/>
              </w:divBdr>
            </w:div>
          </w:divsChild>
        </w:div>
        <w:div w:id="1249923910">
          <w:marLeft w:val="0"/>
          <w:marRight w:val="0"/>
          <w:marTop w:val="0"/>
          <w:marBottom w:val="0"/>
          <w:divBdr>
            <w:top w:val="none" w:sz="0" w:space="0" w:color="auto"/>
            <w:left w:val="none" w:sz="0" w:space="0" w:color="auto"/>
            <w:bottom w:val="none" w:sz="0" w:space="0" w:color="auto"/>
            <w:right w:val="none" w:sz="0" w:space="0" w:color="auto"/>
          </w:divBdr>
          <w:divsChild>
            <w:div w:id="339432376">
              <w:marLeft w:val="0"/>
              <w:marRight w:val="0"/>
              <w:marTop w:val="0"/>
              <w:marBottom w:val="0"/>
              <w:divBdr>
                <w:top w:val="none" w:sz="0" w:space="0" w:color="auto"/>
                <w:left w:val="none" w:sz="0" w:space="0" w:color="auto"/>
                <w:bottom w:val="none" w:sz="0" w:space="0" w:color="auto"/>
                <w:right w:val="none" w:sz="0" w:space="0" w:color="auto"/>
              </w:divBdr>
            </w:div>
            <w:div w:id="1302271606">
              <w:marLeft w:val="0"/>
              <w:marRight w:val="0"/>
              <w:marTop w:val="0"/>
              <w:marBottom w:val="0"/>
              <w:divBdr>
                <w:top w:val="none" w:sz="0" w:space="0" w:color="auto"/>
                <w:left w:val="none" w:sz="0" w:space="0" w:color="auto"/>
                <w:bottom w:val="none" w:sz="0" w:space="0" w:color="auto"/>
                <w:right w:val="none" w:sz="0" w:space="0" w:color="auto"/>
              </w:divBdr>
            </w:div>
          </w:divsChild>
        </w:div>
        <w:div w:id="578908054">
          <w:marLeft w:val="0"/>
          <w:marRight w:val="0"/>
          <w:marTop w:val="0"/>
          <w:marBottom w:val="0"/>
          <w:divBdr>
            <w:top w:val="none" w:sz="0" w:space="0" w:color="auto"/>
            <w:left w:val="none" w:sz="0" w:space="0" w:color="auto"/>
            <w:bottom w:val="none" w:sz="0" w:space="0" w:color="auto"/>
            <w:right w:val="none" w:sz="0" w:space="0" w:color="auto"/>
          </w:divBdr>
          <w:divsChild>
            <w:div w:id="1349913815">
              <w:marLeft w:val="0"/>
              <w:marRight w:val="0"/>
              <w:marTop w:val="0"/>
              <w:marBottom w:val="0"/>
              <w:divBdr>
                <w:top w:val="none" w:sz="0" w:space="0" w:color="auto"/>
                <w:left w:val="none" w:sz="0" w:space="0" w:color="auto"/>
                <w:bottom w:val="none" w:sz="0" w:space="0" w:color="auto"/>
                <w:right w:val="none" w:sz="0" w:space="0" w:color="auto"/>
              </w:divBdr>
            </w:div>
          </w:divsChild>
        </w:div>
        <w:div w:id="1938054240">
          <w:marLeft w:val="0"/>
          <w:marRight w:val="0"/>
          <w:marTop w:val="0"/>
          <w:marBottom w:val="0"/>
          <w:divBdr>
            <w:top w:val="none" w:sz="0" w:space="0" w:color="auto"/>
            <w:left w:val="none" w:sz="0" w:space="0" w:color="auto"/>
            <w:bottom w:val="none" w:sz="0" w:space="0" w:color="auto"/>
            <w:right w:val="none" w:sz="0" w:space="0" w:color="auto"/>
          </w:divBdr>
          <w:divsChild>
            <w:div w:id="2022118711">
              <w:marLeft w:val="0"/>
              <w:marRight w:val="0"/>
              <w:marTop w:val="0"/>
              <w:marBottom w:val="0"/>
              <w:divBdr>
                <w:top w:val="none" w:sz="0" w:space="0" w:color="auto"/>
                <w:left w:val="none" w:sz="0" w:space="0" w:color="auto"/>
                <w:bottom w:val="none" w:sz="0" w:space="0" w:color="auto"/>
                <w:right w:val="none" w:sz="0" w:space="0" w:color="auto"/>
              </w:divBdr>
            </w:div>
          </w:divsChild>
        </w:div>
        <w:div w:id="1616209896">
          <w:marLeft w:val="0"/>
          <w:marRight w:val="0"/>
          <w:marTop w:val="0"/>
          <w:marBottom w:val="0"/>
          <w:divBdr>
            <w:top w:val="none" w:sz="0" w:space="0" w:color="auto"/>
            <w:left w:val="none" w:sz="0" w:space="0" w:color="auto"/>
            <w:bottom w:val="none" w:sz="0" w:space="0" w:color="auto"/>
            <w:right w:val="none" w:sz="0" w:space="0" w:color="auto"/>
          </w:divBdr>
          <w:divsChild>
            <w:div w:id="1813670341">
              <w:marLeft w:val="0"/>
              <w:marRight w:val="0"/>
              <w:marTop w:val="0"/>
              <w:marBottom w:val="0"/>
              <w:divBdr>
                <w:top w:val="none" w:sz="0" w:space="0" w:color="auto"/>
                <w:left w:val="none" w:sz="0" w:space="0" w:color="auto"/>
                <w:bottom w:val="none" w:sz="0" w:space="0" w:color="auto"/>
                <w:right w:val="none" w:sz="0" w:space="0" w:color="auto"/>
              </w:divBdr>
            </w:div>
          </w:divsChild>
        </w:div>
        <w:div w:id="1851293435">
          <w:marLeft w:val="0"/>
          <w:marRight w:val="0"/>
          <w:marTop w:val="0"/>
          <w:marBottom w:val="0"/>
          <w:divBdr>
            <w:top w:val="none" w:sz="0" w:space="0" w:color="auto"/>
            <w:left w:val="none" w:sz="0" w:space="0" w:color="auto"/>
            <w:bottom w:val="none" w:sz="0" w:space="0" w:color="auto"/>
            <w:right w:val="none" w:sz="0" w:space="0" w:color="auto"/>
          </w:divBdr>
          <w:divsChild>
            <w:div w:id="1486699881">
              <w:marLeft w:val="0"/>
              <w:marRight w:val="0"/>
              <w:marTop w:val="0"/>
              <w:marBottom w:val="0"/>
              <w:divBdr>
                <w:top w:val="none" w:sz="0" w:space="0" w:color="auto"/>
                <w:left w:val="none" w:sz="0" w:space="0" w:color="auto"/>
                <w:bottom w:val="none" w:sz="0" w:space="0" w:color="auto"/>
                <w:right w:val="none" w:sz="0" w:space="0" w:color="auto"/>
              </w:divBdr>
            </w:div>
          </w:divsChild>
        </w:div>
        <w:div w:id="1837836831">
          <w:marLeft w:val="0"/>
          <w:marRight w:val="0"/>
          <w:marTop w:val="0"/>
          <w:marBottom w:val="0"/>
          <w:divBdr>
            <w:top w:val="none" w:sz="0" w:space="0" w:color="auto"/>
            <w:left w:val="none" w:sz="0" w:space="0" w:color="auto"/>
            <w:bottom w:val="none" w:sz="0" w:space="0" w:color="auto"/>
            <w:right w:val="none" w:sz="0" w:space="0" w:color="auto"/>
          </w:divBdr>
          <w:divsChild>
            <w:div w:id="50008175">
              <w:marLeft w:val="0"/>
              <w:marRight w:val="0"/>
              <w:marTop w:val="0"/>
              <w:marBottom w:val="0"/>
              <w:divBdr>
                <w:top w:val="none" w:sz="0" w:space="0" w:color="auto"/>
                <w:left w:val="none" w:sz="0" w:space="0" w:color="auto"/>
                <w:bottom w:val="none" w:sz="0" w:space="0" w:color="auto"/>
                <w:right w:val="none" w:sz="0" w:space="0" w:color="auto"/>
              </w:divBdr>
            </w:div>
          </w:divsChild>
        </w:div>
        <w:div w:id="1125196612">
          <w:marLeft w:val="0"/>
          <w:marRight w:val="0"/>
          <w:marTop w:val="0"/>
          <w:marBottom w:val="0"/>
          <w:divBdr>
            <w:top w:val="none" w:sz="0" w:space="0" w:color="auto"/>
            <w:left w:val="none" w:sz="0" w:space="0" w:color="auto"/>
            <w:bottom w:val="none" w:sz="0" w:space="0" w:color="auto"/>
            <w:right w:val="none" w:sz="0" w:space="0" w:color="auto"/>
          </w:divBdr>
          <w:divsChild>
            <w:div w:id="1834222641">
              <w:marLeft w:val="0"/>
              <w:marRight w:val="0"/>
              <w:marTop w:val="0"/>
              <w:marBottom w:val="0"/>
              <w:divBdr>
                <w:top w:val="none" w:sz="0" w:space="0" w:color="auto"/>
                <w:left w:val="none" w:sz="0" w:space="0" w:color="auto"/>
                <w:bottom w:val="none" w:sz="0" w:space="0" w:color="auto"/>
                <w:right w:val="none" w:sz="0" w:space="0" w:color="auto"/>
              </w:divBdr>
            </w:div>
          </w:divsChild>
        </w:div>
        <w:div w:id="649024085">
          <w:marLeft w:val="0"/>
          <w:marRight w:val="0"/>
          <w:marTop w:val="0"/>
          <w:marBottom w:val="0"/>
          <w:divBdr>
            <w:top w:val="none" w:sz="0" w:space="0" w:color="auto"/>
            <w:left w:val="none" w:sz="0" w:space="0" w:color="auto"/>
            <w:bottom w:val="none" w:sz="0" w:space="0" w:color="auto"/>
            <w:right w:val="none" w:sz="0" w:space="0" w:color="auto"/>
          </w:divBdr>
          <w:divsChild>
            <w:div w:id="1736465879">
              <w:marLeft w:val="0"/>
              <w:marRight w:val="0"/>
              <w:marTop w:val="0"/>
              <w:marBottom w:val="0"/>
              <w:divBdr>
                <w:top w:val="none" w:sz="0" w:space="0" w:color="auto"/>
                <w:left w:val="none" w:sz="0" w:space="0" w:color="auto"/>
                <w:bottom w:val="none" w:sz="0" w:space="0" w:color="auto"/>
                <w:right w:val="none" w:sz="0" w:space="0" w:color="auto"/>
              </w:divBdr>
            </w:div>
          </w:divsChild>
        </w:div>
        <w:div w:id="144859744">
          <w:marLeft w:val="0"/>
          <w:marRight w:val="0"/>
          <w:marTop w:val="0"/>
          <w:marBottom w:val="0"/>
          <w:divBdr>
            <w:top w:val="none" w:sz="0" w:space="0" w:color="auto"/>
            <w:left w:val="none" w:sz="0" w:space="0" w:color="auto"/>
            <w:bottom w:val="none" w:sz="0" w:space="0" w:color="auto"/>
            <w:right w:val="none" w:sz="0" w:space="0" w:color="auto"/>
          </w:divBdr>
          <w:divsChild>
            <w:div w:id="510725972">
              <w:marLeft w:val="0"/>
              <w:marRight w:val="0"/>
              <w:marTop w:val="0"/>
              <w:marBottom w:val="0"/>
              <w:divBdr>
                <w:top w:val="none" w:sz="0" w:space="0" w:color="auto"/>
                <w:left w:val="none" w:sz="0" w:space="0" w:color="auto"/>
                <w:bottom w:val="none" w:sz="0" w:space="0" w:color="auto"/>
                <w:right w:val="none" w:sz="0" w:space="0" w:color="auto"/>
              </w:divBdr>
            </w:div>
          </w:divsChild>
        </w:div>
        <w:div w:id="1265571141">
          <w:marLeft w:val="0"/>
          <w:marRight w:val="0"/>
          <w:marTop w:val="0"/>
          <w:marBottom w:val="0"/>
          <w:divBdr>
            <w:top w:val="none" w:sz="0" w:space="0" w:color="auto"/>
            <w:left w:val="none" w:sz="0" w:space="0" w:color="auto"/>
            <w:bottom w:val="none" w:sz="0" w:space="0" w:color="auto"/>
            <w:right w:val="none" w:sz="0" w:space="0" w:color="auto"/>
          </w:divBdr>
          <w:divsChild>
            <w:div w:id="790251183">
              <w:marLeft w:val="0"/>
              <w:marRight w:val="0"/>
              <w:marTop w:val="0"/>
              <w:marBottom w:val="0"/>
              <w:divBdr>
                <w:top w:val="none" w:sz="0" w:space="0" w:color="auto"/>
                <w:left w:val="none" w:sz="0" w:space="0" w:color="auto"/>
                <w:bottom w:val="none" w:sz="0" w:space="0" w:color="auto"/>
                <w:right w:val="none" w:sz="0" w:space="0" w:color="auto"/>
              </w:divBdr>
            </w:div>
          </w:divsChild>
        </w:div>
        <w:div w:id="1923643480">
          <w:marLeft w:val="0"/>
          <w:marRight w:val="0"/>
          <w:marTop w:val="0"/>
          <w:marBottom w:val="0"/>
          <w:divBdr>
            <w:top w:val="none" w:sz="0" w:space="0" w:color="auto"/>
            <w:left w:val="none" w:sz="0" w:space="0" w:color="auto"/>
            <w:bottom w:val="none" w:sz="0" w:space="0" w:color="auto"/>
            <w:right w:val="none" w:sz="0" w:space="0" w:color="auto"/>
          </w:divBdr>
          <w:divsChild>
            <w:div w:id="206490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160253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70672278">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4251058">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9906381">
      <w:bodyDiv w:val="1"/>
      <w:marLeft w:val="0"/>
      <w:marRight w:val="0"/>
      <w:marTop w:val="0"/>
      <w:marBottom w:val="0"/>
      <w:divBdr>
        <w:top w:val="none" w:sz="0" w:space="0" w:color="auto"/>
        <w:left w:val="none" w:sz="0" w:space="0" w:color="auto"/>
        <w:bottom w:val="none" w:sz="0" w:space="0" w:color="auto"/>
        <w:right w:val="none" w:sz="0" w:space="0" w:color="auto"/>
      </w:divBdr>
      <w:divsChild>
        <w:div w:id="919102357">
          <w:marLeft w:val="0"/>
          <w:marRight w:val="0"/>
          <w:marTop w:val="0"/>
          <w:marBottom w:val="0"/>
          <w:divBdr>
            <w:top w:val="none" w:sz="0" w:space="0" w:color="auto"/>
            <w:left w:val="none" w:sz="0" w:space="0" w:color="auto"/>
            <w:bottom w:val="none" w:sz="0" w:space="0" w:color="auto"/>
            <w:right w:val="none" w:sz="0" w:space="0" w:color="auto"/>
          </w:divBdr>
          <w:divsChild>
            <w:div w:id="2096902793">
              <w:marLeft w:val="0"/>
              <w:marRight w:val="0"/>
              <w:marTop w:val="0"/>
              <w:marBottom w:val="0"/>
              <w:divBdr>
                <w:top w:val="none" w:sz="0" w:space="0" w:color="auto"/>
                <w:left w:val="none" w:sz="0" w:space="0" w:color="auto"/>
                <w:bottom w:val="none" w:sz="0" w:space="0" w:color="auto"/>
                <w:right w:val="none" w:sz="0" w:space="0" w:color="auto"/>
              </w:divBdr>
            </w:div>
          </w:divsChild>
        </w:div>
        <w:div w:id="617294023">
          <w:marLeft w:val="0"/>
          <w:marRight w:val="0"/>
          <w:marTop w:val="0"/>
          <w:marBottom w:val="0"/>
          <w:divBdr>
            <w:top w:val="none" w:sz="0" w:space="0" w:color="auto"/>
            <w:left w:val="none" w:sz="0" w:space="0" w:color="auto"/>
            <w:bottom w:val="none" w:sz="0" w:space="0" w:color="auto"/>
            <w:right w:val="none" w:sz="0" w:space="0" w:color="auto"/>
          </w:divBdr>
          <w:divsChild>
            <w:div w:id="1672101713">
              <w:marLeft w:val="0"/>
              <w:marRight w:val="0"/>
              <w:marTop w:val="0"/>
              <w:marBottom w:val="0"/>
              <w:divBdr>
                <w:top w:val="none" w:sz="0" w:space="0" w:color="auto"/>
                <w:left w:val="none" w:sz="0" w:space="0" w:color="auto"/>
                <w:bottom w:val="none" w:sz="0" w:space="0" w:color="auto"/>
                <w:right w:val="none" w:sz="0" w:space="0" w:color="auto"/>
              </w:divBdr>
            </w:div>
          </w:divsChild>
        </w:div>
        <w:div w:id="974024074">
          <w:marLeft w:val="0"/>
          <w:marRight w:val="0"/>
          <w:marTop w:val="0"/>
          <w:marBottom w:val="0"/>
          <w:divBdr>
            <w:top w:val="none" w:sz="0" w:space="0" w:color="auto"/>
            <w:left w:val="none" w:sz="0" w:space="0" w:color="auto"/>
            <w:bottom w:val="none" w:sz="0" w:space="0" w:color="auto"/>
            <w:right w:val="none" w:sz="0" w:space="0" w:color="auto"/>
          </w:divBdr>
          <w:divsChild>
            <w:div w:id="1720131638">
              <w:marLeft w:val="0"/>
              <w:marRight w:val="0"/>
              <w:marTop w:val="0"/>
              <w:marBottom w:val="0"/>
              <w:divBdr>
                <w:top w:val="none" w:sz="0" w:space="0" w:color="auto"/>
                <w:left w:val="none" w:sz="0" w:space="0" w:color="auto"/>
                <w:bottom w:val="none" w:sz="0" w:space="0" w:color="auto"/>
                <w:right w:val="none" w:sz="0" w:space="0" w:color="auto"/>
              </w:divBdr>
            </w:div>
          </w:divsChild>
        </w:div>
        <w:div w:id="1287349263">
          <w:marLeft w:val="0"/>
          <w:marRight w:val="0"/>
          <w:marTop w:val="0"/>
          <w:marBottom w:val="0"/>
          <w:divBdr>
            <w:top w:val="none" w:sz="0" w:space="0" w:color="auto"/>
            <w:left w:val="none" w:sz="0" w:space="0" w:color="auto"/>
            <w:bottom w:val="none" w:sz="0" w:space="0" w:color="auto"/>
            <w:right w:val="none" w:sz="0" w:space="0" w:color="auto"/>
          </w:divBdr>
          <w:divsChild>
            <w:div w:id="38164828">
              <w:marLeft w:val="0"/>
              <w:marRight w:val="0"/>
              <w:marTop w:val="0"/>
              <w:marBottom w:val="0"/>
              <w:divBdr>
                <w:top w:val="none" w:sz="0" w:space="0" w:color="auto"/>
                <w:left w:val="none" w:sz="0" w:space="0" w:color="auto"/>
                <w:bottom w:val="none" w:sz="0" w:space="0" w:color="auto"/>
                <w:right w:val="none" w:sz="0" w:space="0" w:color="auto"/>
              </w:divBdr>
            </w:div>
          </w:divsChild>
        </w:div>
        <w:div w:id="405498685">
          <w:marLeft w:val="0"/>
          <w:marRight w:val="0"/>
          <w:marTop w:val="0"/>
          <w:marBottom w:val="0"/>
          <w:divBdr>
            <w:top w:val="none" w:sz="0" w:space="0" w:color="auto"/>
            <w:left w:val="none" w:sz="0" w:space="0" w:color="auto"/>
            <w:bottom w:val="none" w:sz="0" w:space="0" w:color="auto"/>
            <w:right w:val="none" w:sz="0" w:space="0" w:color="auto"/>
          </w:divBdr>
          <w:divsChild>
            <w:div w:id="884878063">
              <w:marLeft w:val="0"/>
              <w:marRight w:val="0"/>
              <w:marTop w:val="0"/>
              <w:marBottom w:val="0"/>
              <w:divBdr>
                <w:top w:val="none" w:sz="0" w:space="0" w:color="auto"/>
                <w:left w:val="none" w:sz="0" w:space="0" w:color="auto"/>
                <w:bottom w:val="none" w:sz="0" w:space="0" w:color="auto"/>
                <w:right w:val="none" w:sz="0" w:space="0" w:color="auto"/>
              </w:divBdr>
            </w:div>
          </w:divsChild>
        </w:div>
        <w:div w:id="801844704">
          <w:marLeft w:val="0"/>
          <w:marRight w:val="0"/>
          <w:marTop w:val="0"/>
          <w:marBottom w:val="0"/>
          <w:divBdr>
            <w:top w:val="none" w:sz="0" w:space="0" w:color="auto"/>
            <w:left w:val="none" w:sz="0" w:space="0" w:color="auto"/>
            <w:bottom w:val="none" w:sz="0" w:space="0" w:color="auto"/>
            <w:right w:val="none" w:sz="0" w:space="0" w:color="auto"/>
          </w:divBdr>
          <w:divsChild>
            <w:div w:id="657196948">
              <w:marLeft w:val="0"/>
              <w:marRight w:val="0"/>
              <w:marTop w:val="0"/>
              <w:marBottom w:val="0"/>
              <w:divBdr>
                <w:top w:val="none" w:sz="0" w:space="0" w:color="auto"/>
                <w:left w:val="none" w:sz="0" w:space="0" w:color="auto"/>
                <w:bottom w:val="none" w:sz="0" w:space="0" w:color="auto"/>
                <w:right w:val="none" w:sz="0" w:space="0" w:color="auto"/>
              </w:divBdr>
            </w:div>
          </w:divsChild>
        </w:div>
        <w:div w:id="932786049">
          <w:marLeft w:val="0"/>
          <w:marRight w:val="0"/>
          <w:marTop w:val="0"/>
          <w:marBottom w:val="0"/>
          <w:divBdr>
            <w:top w:val="none" w:sz="0" w:space="0" w:color="auto"/>
            <w:left w:val="none" w:sz="0" w:space="0" w:color="auto"/>
            <w:bottom w:val="none" w:sz="0" w:space="0" w:color="auto"/>
            <w:right w:val="none" w:sz="0" w:space="0" w:color="auto"/>
          </w:divBdr>
          <w:divsChild>
            <w:div w:id="2053995487">
              <w:marLeft w:val="0"/>
              <w:marRight w:val="0"/>
              <w:marTop w:val="0"/>
              <w:marBottom w:val="0"/>
              <w:divBdr>
                <w:top w:val="none" w:sz="0" w:space="0" w:color="auto"/>
                <w:left w:val="none" w:sz="0" w:space="0" w:color="auto"/>
                <w:bottom w:val="none" w:sz="0" w:space="0" w:color="auto"/>
                <w:right w:val="none" w:sz="0" w:space="0" w:color="auto"/>
              </w:divBdr>
            </w:div>
          </w:divsChild>
        </w:div>
        <w:div w:id="683480957">
          <w:marLeft w:val="0"/>
          <w:marRight w:val="0"/>
          <w:marTop w:val="0"/>
          <w:marBottom w:val="0"/>
          <w:divBdr>
            <w:top w:val="none" w:sz="0" w:space="0" w:color="auto"/>
            <w:left w:val="none" w:sz="0" w:space="0" w:color="auto"/>
            <w:bottom w:val="none" w:sz="0" w:space="0" w:color="auto"/>
            <w:right w:val="none" w:sz="0" w:space="0" w:color="auto"/>
          </w:divBdr>
          <w:divsChild>
            <w:div w:id="2015105813">
              <w:marLeft w:val="0"/>
              <w:marRight w:val="0"/>
              <w:marTop w:val="0"/>
              <w:marBottom w:val="0"/>
              <w:divBdr>
                <w:top w:val="none" w:sz="0" w:space="0" w:color="auto"/>
                <w:left w:val="none" w:sz="0" w:space="0" w:color="auto"/>
                <w:bottom w:val="none" w:sz="0" w:space="0" w:color="auto"/>
                <w:right w:val="none" w:sz="0" w:space="0" w:color="auto"/>
              </w:divBdr>
            </w:div>
          </w:divsChild>
        </w:div>
        <w:div w:id="2039966580">
          <w:marLeft w:val="0"/>
          <w:marRight w:val="0"/>
          <w:marTop w:val="0"/>
          <w:marBottom w:val="0"/>
          <w:divBdr>
            <w:top w:val="none" w:sz="0" w:space="0" w:color="auto"/>
            <w:left w:val="none" w:sz="0" w:space="0" w:color="auto"/>
            <w:bottom w:val="none" w:sz="0" w:space="0" w:color="auto"/>
            <w:right w:val="none" w:sz="0" w:space="0" w:color="auto"/>
          </w:divBdr>
          <w:divsChild>
            <w:div w:id="410544322">
              <w:marLeft w:val="0"/>
              <w:marRight w:val="0"/>
              <w:marTop w:val="0"/>
              <w:marBottom w:val="0"/>
              <w:divBdr>
                <w:top w:val="none" w:sz="0" w:space="0" w:color="auto"/>
                <w:left w:val="none" w:sz="0" w:space="0" w:color="auto"/>
                <w:bottom w:val="none" w:sz="0" w:space="0" w:color="auto"/>
                <w:right w:val="none" w:sz="0" w:space="0" w:color="auto"/>
              </w:divBdr>
            </w:div>
          </w:divsChild>
        </w:div>
        <w:div w:id="1733038819">
          <w:marLeft w:val="0"/>
          <w:marRight w:val="0"/>
          <w:marTop w:val="0"/>
          <w:marBottom w:val="0"/>
          <w:divBdr>
            <w:top w:val="none" w:sz="0" w:space="0" w:color="auto"/>
            <w:left w:val="none" w:sz="0" w:space="0" w:color="auto"/>
            <w:bottom w:val="none" w:sz="0" w:space="0" w:color="auto"/>
            <w:right w:val="none" w:sz="0" w:space="0" w:color="auto"/>
          </w:divBdr>
          <w:divsChild>
            <w:div w:id="1832141381">
              <w:marLeft w:val="0"/>
              <w:marRight w:val="0"/>
              <w:marTop w:val="0"/>
              <w:marBottom w:val="0"/>
              <w:divBdr>
                <w:top w:val="none" w:sz="0" w:space="0" w:color="auto"/>
                <w:left w:val="none" w:sz="0" w:space="0" w:color="auto"/>
                <w:bottom w:val="none" w:sz="0" w:space="0" w:color="auto"/>
                <w:right w:val="none" w:sz="0" w:space="0" w:color="auto"/>
              </w:divBdr>
            </w:div>
          </w:divsChild>
        </w:div>
        <w:div w:id="742676383">
          <w:marLeft w:val="0"/>
          <w:marRight w:val="0"/>
          <w:marTop w:val="0"/>
          <w:marBottom w:val="0"/>
          <w:divBdr>
            <w:top w:val="none" w:sz="0" w:space="0" w:color="auto"/>
            <w:left w:val="none" w:sz="0" w:space="0" w:color="auto"/>
            <w:bottom w:val="none" w:sz="0" w:space="0" w:color="auto"/>
            <w:right w:val="none" w:sz="0" w:space="0" w:color="auto"/>
          </w:divBdr>
          <w:divsChild>
            <w:div w:id="462428580">
              <w:marLeft w:val="0"/>
              <w:marRight w:val="0"/>
              <w:marTop w:val="0"/>
              <w:marBottom w:val="0"/>
              <w:divBdr>
                <w:top w:val="none" w:sz="0" w:space="0" w:color="auto"/>
                <w:left w:val="none" w:sz="0" w:space="0" w:color="auto"/>
                <w:bottom w:val="none" w:sz="0" w:space="0" w:color="auto"/>
                <w:right w:val="none" w:sz="0" w:space="0" w:color="auto"/>
              </w:divBdr>
            </w:div>
          </w:divsChild>
        </w:div>
        <w:div w:id="2073389295">
          <w:marLeft w:val="0"/>
          <w:marRight w:val="0"/>
          <w:marTop w:val="0"/>
          <w:marBottom w:val="0"/>
          <w:divBdr>
            <w:top w:val="none" w:sz="0" w:space="0" w:color="auto"/>
            <w:left w:val="none" w:sz="0" w:space="0" w:color="auto"/>
            <w:bottom w:val="none" w:sz="0" w:space="0" w:color="auto"/>
            <w:right w:val="none" w:sz="0" w:space="0" w:color="auto"/>
          </w:divBdr>
          <w:divsChild>
            <w:div w:id="535894104">
              <w:marLeft w:val="0"/>
              <w:marRight w:val="0"/>
              <w:marTop w:val="0"/>
              <w:marBottom w:val="0"/>
              <w:divBdr>
                <w:top w:val="none" w:sz="0" w:space="0" w:color="auto"/>
                <w:left w:val="none" w:sz="0" w:space="0" w:color="auto"/>
                <w:bottom w:val="none" w:sz="0" w:space="0" w:color="auto"/>
                <w:right w:val="none" w:sz="0" w:space="0" w:color="auto"/>
              </w:divBdr>
            </w:div>
          </w:divsChild>
        </w:div>
        <w:div w:id="545994194">
          <w:marLeft w:val="0"/>
          <w:marRight w:val="0"/>
          <w:marTop w:val="0"/>
          <w:marBottom w:val="0"/>
          <w:divBdr>
            <w:top w:val="none" w:sz="0" w:space="0" w:color="auto"/>
            <w:left w:val="none" w:sz="0" w:space="0" w:color="auto"/>
            <w:bottom w:val="none" w:sz="0" w:space="0" w:color="auto"/>
            <w:right w:val="none" w:sz="0" w:space="0" w:color="auto"/>
          </w:divBdr>
          <w:divsChild>
            <w:div w:id="1220822472">
              <w:marLeft w:val="0"/>
              <w:marRight w:val="0"/>
              <w:marTop w:val="0"/>
              <w:marBottom w:val="0"/>
              <w:divBdr>
                <w:top w:val="none" w:sz="0" w:space="0" w:color="auto"/>
                <w:left w:val="none" w:sz="0" w:space="0" w:color="auto"/>
                <w:bottom w:val="none" w:sz="0" w:space="0" w:color="auto"/>
                <w:right w:val="none" w:sz="0" w:space="0" w:color="auto"/>
              </w:divBdr>
            </w:div>
          </w:divsChild>
        </w:div>
        <w:div w:id="1689602840">
          <w:marLeft w:val="0"/>
          <w:marRight w:val="0"/>
          <w:marTop w:val="0"/>
          <w:marBottom w:val="0"/>
          <w:divBdr>
            <w:top w:val="none" w:sz="0" w:space="0" w:color="auto"/>
            <w:left w:val="none" w:sz="0" w:space="0" w:color="auto"/>
            <w:bottom w:val="none" w:sz="0" w:space="0" w:color="auto"/>
            <w:right w:val="none" w:sz="0" w:space="0" w:color="auto"/>
          </w:divBdr>
          <w:divsChild>
            <w:div w:id="144835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4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78E0FF21-45B0-4267-9175-75FE75530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3514</Words>
  <Characters>19110</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2020-08-07T14:39:00Z</dcterms:created>
  <dcterms:modified xsi:type="dcterms:W3CDTF">2020-10-23T14:14:00Z</dcterms:modified>
</cp:coreProperties>
</file>